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48930105"/>
      <w:bookmarkEnd w:id="1"/>
      <w:bookmarkStart w:id="2" w:name="_Hlt450039480"/>
      <w:bookmarkEnd w:id="2"/>
      <w:bookmarkStart w:id="3" w:name="_Hlt449016246"/>
      <w:bookmarkEnd w:id="3"/>
      <w:bookmarkStart w:id="4" w:name="_Hlt450066085"/>
      <w:bookmarkEnd w:id="4"/>
      <w:bookmarkStart w:id="5" w:name="_Hlt450051172"/>
      <w:bookmarkEnd w:id="5"/>
      <w:bookmarkStart w:id="6" w:name="OLE_LINK3"/>
      <w:bookmarkStart w:id="7" w:name="OLE_LINK27"/>
      <w:bookmarkStart w:id="8" w:name="OLE_LINK49"/>
      <w:bookmarkStart w:id="9"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113</w:t>
      </w:r>
      <w:r>
        <w:rPr>
          <w:rFonts w:hint="eastAsia"/>
          <w:b/>
          <w:sz w:val="24"/>
          <w:lang w:val="en-US" w:eastAsia="zh-CN"/>
        </w:rPr>
        <w:fldChar w:fldCharType="end"/>
      </w:r>
      <w:r>
        <w:rPr>
          <w:b/>
          <w:sz w:val="24"/>
        </w:rPr>
        <w:tab/>
      </w:r>
      <w:bookmarkStart w:id="23" w:name="_GoBack"/>
      <w:r>
        <w:rPr>
          <w:rFonts w:hint="eastAsia"/>
          <w:b/>
          <w:sz w:val="24"/>
        </w:rPr>
        <w:t>R4-24186</w:t>
      </w:r>
      <w:r>
        <w:rPr>
          <w:rFonts w:hint="eastAsia" w:eastAsia="宋体"/>
          <w:b/>
          <w:sz w:val="24"/>
          <w:lang w:val="en-US" w:eastAsia="zh-CN"/>
        </w:rPr>
        <w:t>90</w:t>
      </w:r>
      <w:bookmarkEnd w:id="23"/>
    </w:p>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Orlando</w:t>
      </w:r>
      <w:r>
        <w:rPr>
          <w:b/>
          <w:sz w:val="24"/>
          <w:lang w:eastAsia="zh-CN"/>
        </w:rPr>
        <w:t xml:space="preserve">, </w:t>
      </w:r>
      <w:r>
        <w:rPr>
          <w:rFonts w:hint="eastAsia"/>
          <w:b/>
          <w:sz w:val="24"/>
          <w:lang w:val="en-US" w:eastAsia="zh-CN"/>
        </w:rPr>
        <w:t>USA</w:t>
      </w:r>
      <w:r>
        <w:rPr>
          <w:b/>
          <w:sz w:val="24"/>
          <w:lang w:eastAsia="zh-CN"/>
        </w:rPr>
        <w:t xml:space="preserve">, </w:t>
      </w:r>
      <w:r>
        <w:rPr>
          <w:rFonts w:hint="eastAsia"/>
          <w:b/>
          <w:sz w:val="24"/>
          <w:lang w:val="en-US" w:eastAsia="zh-CN"/>
        </w:rPr>
        <w:t xml:space="preserve">Nov.18th </w:t>
      </w:r>
      <w:r>
        <w:rPr>
          <w:b/>
          <w:sz w:val="24"/>
          <w:lang w:eastAsia="zh-CN"/>
        </w:rPr>
        <w:t xml:space="preserve">– </w:t>
      </w:r>
      <w:r>
        <w:rPr>
          <w:rFonts w:hint="eastAsia"/>
          <w:b/>
          <w:sz w:val="24"/>
          <w:lang w:val="en-US" w:eastAsia="zh-CN"/>
        </w:rPr>
        <w:t>22th</w:t>
      </w:r>
      <w:r>
        <w:rPr>
          <w:b/>
          <w:sz w:val="24"/>
          <w:lang w:eastAsia="zh-CN"/>
        </w:rPr>
        <w:t>, 202</w:t>
      </w:r>
      <w:r>
        <w:rPr>
          <w:rFonts w:hint="eastAsia"/>
          <w:b/>
          <w:sz w:val="24"/>
          <w:lang w:val="en-US" w:eastAsia="zh-CN"/>
        </w:rPr>
        <w:t>4</w:t>
      </w:r>
    </w:p>
    <w:bookmarkEnd w:id="6"/>
    <w:bookmarkEnd w:id="7"/>
    <w:bookmarkEnd w:id="8"/>
    <w:bookmarkEnd w:id="9"/>
    <w:p>
      <w:pPr>
        <w:pStyle w:val="15"/>
        <w:keepNext/>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10" w:name="OLE_LINK6"/>
      <w:r>
        <w:rPr>
          <w:rFonts w:hint="eastAsia" w:ascii="Arial" w:hAnsi="Arial"/>
          <w:b/>
          <w:sz w:val="24"/>
          <w:highlight w:val="none"/>
          <w:lang w:val="en-US" w:eastAsia="zh-CN"/>
        </w:rPr>
        <w:t xml:space="preserve">Further discussion on </w:t>
      </w:r>
      <w:bookmarkStart w:id="11" w:name="OLE_LINK10"/>
      <w:r>
        <w:rPr>
          <w:rFonts w:hint="eastAsia" w:ascii="Arial" w:hAnsi="Arial"/>
          <w:b/>
          <w:sz w:val="24"/>
          <w:highlight w:val="none"/>
          <w:lang w:val="en-US" w:eastAsia="zh-CN"/>
        </w:rPr>
        <w:t xml:space="preserve">R19 PC1.5 </w:t>
      </w:r>
      <w:r>
        <w:rPr>
          <w:rFonts w:hint="eastAsia" w:ascii="Arial" w:hAnsi="Arial"/>
          <w:b/>
          <w:sz w:val="24"/>
          <w:highlight w:val="none"/>
          <w:lang w:val="en-US" w:eastAsia="ja-JP"/>
        </w:rPr>
        <w:t>Intra-band UL CA</w:t>
      </w:r>
      <w:bookmarkEnd w:id="10"/>
      <w:bookmarkEnd w:id="11"/>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7.1.1.1.2</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topLinePunct w:val="0"/>
        <w:bidi w:val="0"/>
        <w:snapToGrid w:val="0"/>
        <w:spacing w:before="137" w:beforeLines="50" w:after="120" w:afterLines="50"/>
        <w:rPr>
          <w:rFonts w:hint="default" w:ascii="Times New Roman" w:hAnsi="Times New Roman" w:cs="Times New Roman"/>
          <w:bCs/>
          <w:kern w:val="0"/>
          <w:sz w:val="20"/>
          <w:szCs w:val="20"/>
          <w:highlight w:val="none"/>
          <w:lang w:val="en-US" w:eastAsia="zh-CN"/>
        </w:rPr>
      </w:pPr>
      <w:bookmarkStart w:id="12" w:name="OLE_LINK25"/>
      <w:r>
        <w:rPr>
          <w:rFonts w:hint="eastAsia" w:cs="Times New Roman"/>
          <w:sz w:val="20"/>
          <w:szCs w:val="20"/>
          <w:lang w:val="en-US" w:eastAsia="zh-CN"/>
        </w:rPr>
        <w:t xml:space="preserve">In last meeting, some agreements/open issues are included in the WF[1]. </w:t>
      </w:r>
      <w:r>
        <w:rPr>
          <w:rFonts w:hint="default" w:ascii="Times New Roman" w:hAnsi="Times New Roman" w:cs="Times New Roman"/>
          <w:sz w:val="20"/>
          <w:szCs w:val="20"/>
          <w:lang w:val="en-US" w:eastAsia="zh-CN"/>
        </w:rPr>
        <w:t xml:space="preserve">In this contribution, </w:t>
      </w:r>
      <w:bookmarkStart w:id="13" w:name="OLE_LINK15"/>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discussion</w:t>
      </w:r>
      <w:r>
        <w:rPr>
          <w:rFonts w:hint="default" w:cs="Times New Roman"/>
          <w:sz w:val="20"/>
          <w:szCs w:val="20"/>
          <w:lang w:val="en-US" w:eastAsia="zh-CN"/>
        </w:rPr>
        <w:t>s</w:t>
      </w:r>
      <w:bookmarkStart w:id="14" w:name="OLE_LINK37"/>
      <w:r>
        <w:rPr>
          <w:rFonts w:hint="default" w:cs="Times New Roman"/>
          <w:sz w:val="20"/>
          <w:szCs w:val="20"/>
          <w:lang w:val="en-US" w:eastAsia="zh-CN"/>
        </w:rPr>
        <w:t xml:space="preserve"> on </w:t>
      </w:r>
      <w:bookmarkEnd w:id="14"/>
      <w:bookmarkStart w:id="15" w:name="OLE_LINK12"/>
      <w:r>
        <w:rPr>
          <w:rFonts w:hint="eastAsia" w:cs="Times New Roman"/>
          <w:sz w:val="20"/>
          <w:szCs w:val="20"/>
          <w:lang w:val="en-US" w:eastAsia="zh-CN"/>
        </w:rPr>
        <w:t>PC1.5 i</w:t>
      </w:r>
      <w:r>
        <w:rPr>
          <w:rFonts w:hint="eastAsia" w:cs="Times New Roman"/>
          <w:sz w:val="20"/>
          <w:szCs w:val="20"/>
          <w:lang w:val="en-US" w:eastAsia="ja-JP"/>
        </w:rPr>
        <w:t>ntra-band contiguous and non-contiguous UL CA</w:t>
      </w:r>
      <w:r>
        <w:rPr>
          <w:rFonts w:hint="eastAsia" w:cs="Times New Roman"/>
          <w:sz w:val="20"/>
          <w:szCs w:val="20"/>
          <w:lang w:val="en-US" w:eastAsia="zh-CN"/>
        </w:rPr>
        <w:t>.</w:t>
      </w:r>
      <w:r>
        <w:rPr>
          <w:rFonts w:hint="default" w:cs="Times New Roman"/>
          <w:sz w:val="20"/>
          <w:szCs w:val="20"/>
          <w:lang w:val="en-US" w:eastAsia="zh-CN"/>
        </w:rPr>
        <w:t xml:space="preserve"> </w:t>
      </w:r>
      <w:bookmarkEnd w:id="13"/>
      <w:bookmarkEnd w:id="15"/>
    </w:p>
    <w:bookmarkEnd w:id="12"/>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kern w:val="2"/>
          <w:sz w:val="21"/>
          <w:szCs w:val="24"/>
          <w:highlight w:val="none"/>
          <w:lang w:val="en-US" w:eastAsia="zh-CN" w:bidi="ar-SA"/>
        </w:rPr>
      </w:pPr>
      <w:bookmarkStart w:id="16" w:name="OLE_LINK28"/>
      <w:bookmarkStart w:id="17" w:name="OLE_LINK23"/>
      <w:bookmarkStart w:id="18" w:name="OLE_LINK11"/>
      <w:bookmarkStart w:id="19" w:name="OLE_LINK66"/>
      <w:r>
        <w:rPr>
          <w:rFonts w:hint="eastAsia" w:cs="Times New Roman"/>
          <w:kern w:val="2"/>
          <w:sz w:val="21"/>
          <w:szCs w:val="24"/>
          <w:highlight w:val="none"/>
          <w:lang w:val="en-US" w:eastAsia="zh-CN" w:bidi="ar-SA"/>
        </w:rPr>
        <w:t>Some agreements on PC1.5 for intra-band UL CA are listed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topLinePunct w:val="0"/>
              <w:autoSpaceDE/>
              <w:autoSpaceDN/>
              <w:bidi w:val="0"/>
              <w:adjustRightInd/>
              <w:snapToGrid/>
              <w:spacing w:before="120" w:beforeLines="0" w:beforeAutospacing="0" w:after="120" w:afterLines="0" w:afterAutospacing="0" w:line="240" w:lineRule="auto"/>
              <w:jc w:val="both"/>
              <w:textAlignment w:val="auto"/>
              <w:outlineLvl w:val="1"/>
              <w:rPr>
                <w:rFonts w:ascii="Arial" w:hAnsi="Arial" w:eastAsia="黑体" w:cs="Times New Roman"/>
                <w:b w:val="0"/>
                <w:kern w:val="44"/>
                <w:sz w:val="24"/>
                <w:szCs w:val="24"/>
                <w:lang w:val="en-US" w:eastAsia="zh-CN" w:bidi="ar-SA"/>
              </w:rPr>
            </w:pPr>
            <w:r>
              <w:rPr>
                <w:rFonts w:ascii="Arial" w:hAnsi="Arial" w:eastAsia="黑体" w:cs="Times New Roman"/>
                <w:b w:val="0"/>
                <w:kern w:val="44"/>
                <w:sz w:val="24"/>
                <w:szCs w:val="24"/>
                <w:lang w:val="en-US" w:eastAsia="zh-CN" w:bidi="ar-SA"/>
              </w:rPr>
              <w:t>1. PC1.5 for intra-band contiguous and non-contiguous UL CA</w:t>
            </w:r>
          </w:p>
          <w:p>
            <w:pPr>
              <w:keepNext/>
              <w:keepLines/>
              <w:pageBreakBefore w:val="0"/>
              <w:widowControl w:val="0"/>
              <w:tabs>
                <w:tab w:val="left" w:pos="700"/>
              </w:tabs>
              <w:kinsoku/>
              <w:wordWrap/>
              <w:overflowPunct/>
              <w:topLinePunct w:val="0"/>
              <w:autoSpaceDE/>
              <w:autoSpaceDN/>
              <w:bidi w:val="0"/>
              <w:adjustRightInd/>
              <w:snapToGrid/>
              <w:spacing w:before="120" w:beforeLines="0" w:beforeAutospacing="0" w:after="120" w:afterLines="0" w:afterAutospacing="0" w:line="240" w:lineRule="auto"/>
              <w:jc w:val="both"/>
              <w:textAlignment w:val="auto"/>
              <w:outlineLvl w:val="2"/>
              <w:rPr>
                <w:rFonts w:ascii="Arial" w:hAnsi="Arial" w:eastAsia="黑体" w:cs="Times New Roman"/>
                <w:b w:val="0"/>
                <w:kern w:val="44"/>
                <w:sz w:val="24"/>
                <w:szCs w:val="24"/>
                <w:lang w:val="en-US" w:eastAsia="zh-CN" w:bidi="ar-SA"/>
              </w:rPr>
            </w:pPr>
            <w:r>
              <w:rPr>
                <w:rFonts w:ascii="Arial" w:hAnsi="Arial" w:eastAsia="黑体" w:cs="Times New Roman"/>
                <w:b w:val="0"/>
                <w:kern w:val="44"/>
                <w:sz w:val="24"/>
                <w:szCs w:val="24"/>
                <w:lang w:val="en-US" w:eastAsia="zh-CN" w:bidi="ar-SA"/>
              </w:rPr>
              <w:t>1.1 MPR assumption</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eastAsia="宋体"/>
                <w:b/>
                <w:bCs/>
                <w:szCs w:val="24"/>
              </w:rPr>
            </w:pPr>
            <w:r>
              <w:rPr>
                <w:rFonts w:eastAsia="宋体"/>
                <w:b/>
                <w:bCs/>
                <w:szCs w:val="24"/>
              </w:rPr>
              <w:t xml:space="preserve">Agreement: </w:t>
            </w:r>
          </w:p>
          <w:p>
            <w:pPr>
              <w:keepNext/>
              <w:keepLines/>
              <w:pageBreakBefore w:val="0"/>
              <w:widowControl w:val="0"/>
              <w:numPr>
                <w:ilvl w:val="0"/>
                <w:numId w:val="7"/>
              </w:numPr>
              <w:kinsoku/>
              <w:wordWrap/>
              <w:overflowPunct w:val="0"/>
              <w:topLinePunct w:val="0"/>
              <w:autoSpaceDE w:val="0"/>
              <w:autoSpaceDN w:val="0"/>
              <w:bidi w:val="0"/>
              <w:adjustRightInd w:val="0"/>
              <w:snapToGrid/>
              <w:spacing w:before="120" w:beforeLines="0" w:after="120" w:afterLines="0"/>
              <w:ind w:left="420" w:hanging="420" w:firstLineChars="0"/>
              <w:jc w:val="both"/>
              <w:textAlignment w:val="baseline"/>
              <w:rPr>
                <w:rFonts w:ascii="Times New Roman" w:hAnsi="Times New Roman" w:eastAsia="ＭＳ 明朝" w:cs="Times New Roman"/>
                <w:kern w:val="2"/>
                <w:sz w:val="21"/>
                <w:szCs w:val="24"/>
                <w:lang w:val="en-US" w:eastAsia="zh-CN" w:bidi="ar-SA"/>
              </w:rPr>
            </w:pPr>
            <w:r>
              <w:rPr>
                <w:rFonts w:hint="eastAsia" w:ascii="Times New Roman" w:hAnsi="Times New Roman" w:eastAsia="ＭＳ 明朝" w:cs="Times New Roman"/>
                <w:kern w:val="2"/>
                <w:sz w:val="21"/>
                <w:szCs w:val="24"/>
                <w:lang w:val="en-US" w:eastAsia="zh-CN" w:bidi="ar-SA"/>
              </w:rPr>
              <w:t>K</w:t>
            </w:r>
            <w:r>
              <w:rPr>
                <w:rFonts w:ascii="Times New Roman" w:hAnsi="Times New Roman" w:eastAsia="ＭＳ 明朝" w:cs="Times New Roman"/>
                <w:kern w:val="2"/>
                <w:sz w:val="21"/>
                <w:szCs w:val="24"/>
                <w:lang w:val="en-US" w:eastAsia="zh-CN" w:bidi="ar-SA"/>
              </w:rPr>
              <w:t>eep the following last meeting’s agreement for intra-band non-contiguous ULCA</w:t>
            </w:r>
          </w:p>
          <w:p>
            <w:pPr>
              <w:keepNext/>
              <w:keepLines/>
              <w:pageBreakBefore w:val="0"/>
              <w:widowControl w:val="0"/>
              <w:kinsoku/>
              <w:wordWrap/>
              <w:overflowPunct w:val="0"/>
              <w:topLinePunct w:val="0"/>
              <w:autoSpaceDE w:val="0"/>
              <w:autoSpaceDN w:val="0"/>
              <w:bidi w:val="0"/>
              <w:adjustRightInd w:val="0"/>
              <w:snapToGrid/>
              <w:spacing w:before="120" w:beforeLines="0" w:after="120" w:afterLines="0"/>
              <w:ind w:left="420" w:firstLine="0" w:firstLineChars="0"/>
              <w:jc w:val="both"/>
              <w:textAlignment w:val="baseline"/>
              <w:rPr>
                <w:rFonts w:ascii="Times New Roman" w:hAnsi="Times New Roman" w:eastAsia="ＭＳ 明朝" w:cs="Times New Roman"/>
                <w:kern w:val="2"/>
                <w:sz w:val="21"/>
                <w:szCs w:val="24"/>
                <w:lang w:val="en-US" w:eastAsia="zh-CN" w:bidi="ar-SA"/>
              </w:rPr>
            </w:pPr>
            <w:r>
              <w:rPr>
                <w:rFonts w:ascii="Times New Roman" w:hAnsi="Times New Roman" w:eastAsia="ＭＳ 明朝" w:cs="Times New Roman"/>
                <w:kern w:val="2"/>
                <w:sz w:val="21"/>
                <w:szCs w:val="24"/>
                <w:bdr w:val="single" w:color="auto" w:sz="4" w:space="0"/>
                <w:lang w:val="en-US" w:eastAsia="zh-CN" w:bidi="ar-SA"/>
              </w:rPr>
              <w:drawing>
                <wp:inline distT="0" distB="0" distL="0" distR="0">
                  <wp:extent cx="6646545" cy="718820"/>
                  <wp:effectExtent l="0" t="0" r="13335"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6646545" cy="718820"/>
                          </a:xfrm>
                          <a:prstGeom prst="rect">
                            <a:avLst/>
                          </a:prstGeom>
                        </pic:spPr>
                      </pic:pic>
                    </a:graphicData>
                  </a:graphic>
                </wp:inline>
              </w:drawing>
            </w:r>
          </w:p>
          <w:p>
            <w:pPr>
              <w:keepNext/>
              <w:keepLines/>
              <w:pageBreakBefore w:val="0"/>
              <w:widowControl w:val="0"/>
              <w:numPr>
                <w:ilvl w:val="0"/>
                <w:numId w:val="7"/>
              </w:numPr>
              <w:kinsoku/>
              <w:wordWrap/>
              <w:overflowPunct w:val="0"/>
              <w:topLinePunct w:val="0"/>
              <w:autoSpaceDE w:val="0"/>
              <w:autoSpaceDN w:val="0"/>
              <w:bidi w:val="0"/>
              <w:adjustRightInd w:val="0"/>
              <w:snapToGrid/>
              <w:spacing w:before="120" w:beforeLines="0" w:after="120" w:afterLines="0"/>
              <w:ind w:left="420" w:hanging="420" w:firstLineChars="0"/>
              <w:jc w:val="both"/>
              <w:textAlignment w:val="baseline"/>
              <w:rPr>
                <w:rFonts w:ascii="Times New Roman" w:hAnsi="Times New Roman" w:eastAsia="ＭＳ 明朝" w:cs="Times New Roman"/>
                <w:kern w:val="2"/>
                <w:sz w:val="21"/>
                <w:szCs w:val="24"/>
                <w:lang w:val="en-US" w:eastAsia="zh-CN" w:bidi="ar-SA"/>
              </w:rPr>
            </w:pPr>
            <w:r>
              <w:rPr>
                <w:rFonts w:hint="eastAsia" w:ascii="Times New Roman" w:hAnsi="Times New Roman" w:eastAsia="ＭＳ 明朝" w:cs="Times New Roman"/>
                <w:kern w:val="2"/>
                <w:sz w:val="21"/>
                <w:szCs w:val="24"/>
                <w:lang w:val="en-US" w:eastAsia="zh-CN" w:bidi="ar-SA"/>
              </w:rPr>
              <w:t>D</w:t>
            </w:r>
            <w:r>
              <w:rPr>
                <w:rFonts w:ascii="Times New Roman" w:hAnsi="Times New Roman" w:eastAsia="ＭＳ 明朝" w:cs="Times New Roman"/>
                <w:kern w:val="2"/>
                <w:sz w:val="21"/>
                <w:szCs w:val="24"/>
                <w:lang w:val="en-US" w:eastAsia="zh-CN" w:bidi="ar-SA"/>
              </w:rPr>
              <w:t>efine MPR/A-MPR requirements based on equal PSD assumption for intra-band contiguous ULCA</w:t>
            </w:r>
          </w:p>
          <w:p>
            <w:pPr>
              <w:keepNext/>
              <w:keepLines/>
              <w:pageBreakBefore w:val="0"/>
              <w:widowControl w:val="0"/>
              <w:numPr>
                <w:ilvl w:val="1"/>
                <w:numId w:val="7"/>
              </w:numPr>
              <w:kinsoku/>
              <w:wordWrap/>
              <w:overflowPunct w:val="0"/>
              <w:topLinePunct w:val="0"/>
              <w:autoSpaceDE w:val="0"/>
              <w:autoSpaceDN w:val="0"/>
              <w:bidi w:val="0"/>
              <w:adjustRightInd w:val="0"/>
              <w:snapToGrid/>
              <w:spacing w:before="120" w:beforeLines="0" w:after="120" w:afterLines="0"/>
              <w:ind w:left="840" w:hanging="42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It does not preclude companies to bring evaluation for unequal PSD</w:t>
            </w:r>
          </w:p>
          <w:p>
            <w:pPr>
              <w:keepNext/>
              <w:keepLines/>
              <w:pageBreakBefore w:val="0"/>
              <w:widowControl w:val="0"/>
              <w:numPr>
                <w:ilvl w:val="0"/>
                <w:numId w:val="7"/>
              </w:numPr>
              <w:kinsoku/>
              <w:wordWrap/>
              <w:overflowPunct w:val="0"/>
              <w:topLinePunct w:val="0"/>
              <w:autoSpaceDE w:val="0"/>
              <w:autoSpaceDN w:val="0"/>
              <w:bidi w:val="0"/>
              <w:adjustRightInd w:val="0"/>
              <w:snapToGrid/>
              <w:spacing w:before="120" w:beforeLines="0" w:after="120" w:afterLines="0"/>
              <w:ind w:left="420" w:hanging="420" w:firstLineChars="0"/>
              <w:jc w:val="both"/>
              <w:textAlignment w:val="baseline"/>
              <w:rPr>
                <w:rFonts w:ascii="Times New Roman" w:hAnsi="Times New Roman" w:eastAsia="ＭＳ 明朝"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MPRc = MPR, which means no change of spec</w:t>
            </w:r>
          </w:p>
          <w:p>
            <w:pPr>
              <w:keepNext/>
              <w:keepLines/>
              <w:pageBreakBefore w:val="0"/>
              <w:widowControl w:val="0"/>
              <w:tabs>
                <w:tab w:val="left" w:pos="700"/>
              </w:tabs>
              <w:kinsoku/>
              <w:wordWrap/>
              <w:overflowPunct/>
              <w:topLinePunct w:val="0"/>
              <w:autoSpaceDE/>
              <w:autoSpaceDN/>
              <w:bidi w:val="0"/>
              <w:adjustRightInd/>
              <w:snapToGrid/>
              <w:spacing w:before="120" w:beforeLines="0" w:beforeAutospacing="0" w:after="120" w:afterLines="0" w:afterAutospacing="0" w:line="240" w:lineRule="auto"/>
              <w:ind w:left="0" w:firstLine="0"/>
              <w:jc w:val="both"/>
              <w:textAlignment w:val="auto"/>
              <w:outlineLvl w:val="2"/>
              <w:rPr>
                <w:rFonts w:ascii="Arial" w:hAnsi="Arial" w:eastAsia="黑体" w:cs="Times New Roman"/>
                <w:b w:val="0"/>
                <w:kern w:val="44"/>
                <w:sz w:val="24"/>
                <w:szCs w:val="24"/>
                <w:lang w:val="en-US" w:eastAsia="zh-CN" w:bidi="ar-SA"/>
              </w:rPr>
            </w:pPr>
            <w:r>
              <w:rPr>
                <w:rFonts w:ascii="Arial" w:hAnsi="Arial" w:eastAsia="黑体" w:cs="Times New Roman"/>
                <w:b w:val="0"/>
                <w:kern w:val="44"/>
                <w:sz w:val="24"/>
                <w:szCs w:val="24"/>
                <w:lang w:val="en-US" w:eastAsia="zh-CN" w:bidi="ar-SA"/>
              </w:rPr>
              <w:t>1.2 P</w:t>
            </w:r>
            <w:r>
              <w:rPr>
                <w:rFonts w:ascii="Arial" w:hAnsi="Arial" w:eastAsia="黑体" w:cs="Times New Roman"/>
                <w:b w:val="0"/>
                <w:kern w:val="44"/>
                <w:sz w:val="24"/>
                <w:szCs w:val="24"/>
                <w:vertAlign w:val="subscript"/>
                <w:lang w:val="en-US" w:eastAsia="zh-CN" w:bidi="ar-SA"/>
              </w:rPr>
              <w:t>CMAX,f,C</w:t>
            </w:r>
            <w:r>
              <w:rPr>
                <w:rFonts w:ascii="Arial" w:hAnsi="Arial" w:eastAsia="黑体" w:cs="Times New Roman"/>
                <w:b w:val="0"/>
                <w:kern w:val="44"/>
                <w:sz w:val="24"/>
                <w:szCs w:val="24"/>
                <w:lang w:val="en-US" w:eastAsia="zh-CN" w:bidi="ar-SA"/>
              </w:rPr>
              <w:t xml:space="preserve"> and</w:t>
            </w:r>
            <w:r>
              <w:rPr>
                <w:rFonts w:ascii="Arial" w:hAnsi="Arial" w:eastAsia="黑体" w:cs="Times New Roman"/>
                <w:b w:val="0"/>
                <w:kern w:val="44"/>
                <w:sz w:val="24"/>
                <w:szCs w:val="24"/>
                <w:vertAlign w:val="subscript"/>
                <w:lang w:val="en-US" w:eastAsia="zh-CN" w:bidi="ar-SA"/>
              </w:rPr>
              <w:t xml:space="preserve"> </w:t>
            </w:r>
            <w:r>
              <w:rPr>
                <w:rFonts w:ascii="Arial" w:hAnsi="Arial" w:eastAsia="黑体" w:cs="Times New Roman"/>
                <w:b w:val="0"/>
                <w:kern w:val="44"/>
                <w:sz w:val="24"/>
                <w:szCs w:val="24"/>
                <w:lang w:val="en-US" w:eastAsia="zh-CN" w:bidi="ar-SA"/>
              </w:rPr>
              <w:t>P</w:t>
            </w:r>
            <w:r>
              <w:rPr>
                <w:rFonts w:ascii="Arial" w:hAnsi="Arial" w:eastAsia="黑体" w:cs="Times New Roman"/>
                <w:b w:val="0"/>
                <w:kern w:val="44"/>
                <w:sz w:val="24"/>
                <w:szCs w:val="24"/>
                <w:vertAlign w:val="subscript"/>
                <w:lang w:val="en-US" w:eastAsia="zh-CN" w:bidi="ar-SA"/>
              </w:rPr>
              <w:t>CMAX</w:t>
            </w:r>
          </w:p>
          <w:p>
            <w:pPr>
              <w:keepNext/>
              <w:keepLines/>
              <w:pageBreakBefore w:val="0"/>
              <w:widowControl w:val="0"/>
              <w:kinsoku/>
              <w:wordWrap/>
              <w:overflowPunct w:val="0"/>
              <w:topLinePunct w:val="0"/>
              <w:autoSpaceDE w:val="0"/>
              <w:autoSpaceDN w:val="0"/>
              <w:bidi w:val="0"/>
              <w:adjustRightInd w:val="0"/>
              <w:snapToGrid/>
              <w:spacing w:before="120" w:beforeLines="0" w:after="120" w:afterLines="0" w:line="240" w:lineRule="auto"/>
              <w:textAlignment w:val="baseline"/>
              <w:rPr>
                <w:rFonts w:eastAsia="宋体"/>
                <w:szCs w:val="24"/>
              </w:rPr>
            </w:pPr>
            <w:r>
              <w:rPr>
                <w:rFonts w:eastAsia="宋体"/>
                <w:b/>
                <w:bCs/>
                <w:szCs w:val="24"/>
              </w:rPr>
              <w:t xml:space="preserve">Agreement: </w:t>
            </w:r>
          </w:p>
          <w:p>
            <w:pPr>
              <w:keepNext/>
              <w:keepLines/>
              <w:pageBreakBefore w:val="0"/>
              <w:widowControl w:val="0"/>
              <w:numPr>
                <w:ilvl w:val="0"/>
                <w:numId w:val="7"/>
              </w:numPr>
              <w:kinsoku/>
              <w:wordWrap/>
              <w:overflowPunct w:val="0"/>
              <w:topLinePunct w:val="0"/>
              <w:autoSpaceDE w:val="0"/>
              <w:autoSpaceDN w:val="0"/>
              <w:bidi w:val="0"/>
              <w:adjustRightInd w:val="0"/>
              <w:snapToGrid/>
              <w:spacing w:before="120" w:beforeLines="0" w:after="120" w:afterLines="0"/>
              <w:ind w:left="420" w:hanging="420" w:firstLineChars="0"/>
              <w:jc w:val="both"/>
              <w:textAlignment w:val="baseline"/>
              <w:rPr>
                <w:rFonts w:ascii="Times New Roman" w:hAnsi="Times New Roman" w:eastAsia="ＭＳ 明朝"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For a contiguous intra-band combination with PC1.5 capability supporting by txDiversity-r16</w:t>
            </w:r>
          </w:p>
          <w:p>
            <w:pPr>
              <w:keepNext/>
              <w:keepLines/>
              <w:pageBreakBefore w:val="0"/>
              <w:widowControl w:val="0"/>
              <w:numPr>
                <w:ilvl w:val="1"/>
                <w:numId w:val="7"/>
              </w:numPr>
              <w:kinsoku/>
              <w:wordWrap/>
              <w:overflowPunct w:val="0"/>
              <w:topLinePunct w:val="0"/>
              <w:autoSpaceDE w:val="0"/>
              <w:autoSpaceDN w:val="0"/>
              <w:bidi w:val="0"/>
              <w:adjustRightInd w:val="0"/>
              <w:snapToGrid/>
              <w:spacing w:before="120" w:beforeLines="0" w:after="120" w:afterLines="0"/>
              <w:ind w:left="840" w:hanging="42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The P</w:t>
            </w:r>
            <w:r>
              <w:rPr>
                <w:rFonts w:ascii="Times New Roman" w:hAnsi="Times New Roman" w:eastAsia="宋体" w:cs="Times New Roman"/>
                <w:kern w:val="2"/>
                <w:sz w:val="21"/>
                <w:szCs w:val="24"/>
                <w:u w:val="single"/>
                <w:vertAlign w:val="subscript"/>
                <w:lang w:val="en-US" w:eastAsia="zh-CN" w:bidi="ar-SA"/>
              </w:rPr>
              <w:t>CMAX,f,c</w:t>
            </w:r>
            <w:r>
              <w:rPr>
                <w:rFonts w:ascii="Times New Roman" w:hAnsi="Times New Roman" w:eastAsia="宋体" w:cs="Times New Roman"/>
                <w:kern w:val="2"/>
                <w:sz w:val="21"/>
                <w:szCs w:val="24"/>
                <w:lang w:val="en-US" w:eastAsia="zh-CN" w:bidi="ar-SA"/>
              </w:rPr>
              <w:t xml:space="preserve"> and the total configured output power P</w:t>
            </w:r>
            <w:r>
              <w:rPr>
                <w:rFonts w:ascii="Times New Roman" w:hAnsi="Times New Roman" w:eastAsia="宋体" w:cs="Times New Roman"/>
                <w:kern w:val="2"/>
                <w:sz w:val="21"/>
                <w:szCs w:val="24"/>
                <w:vertAlign w:val="subscript"/>
                <w:lang w:val="en-US" w:eastAsia="zh-CN" w:bidi="ar-SA"/>
              </w:rPr>
              <w:t>CMAX</w:t>
            </w:r>
            <w:r>
              <w:rPr>
                <w:rFonts w:ascii="Times New Roman" w:hAnsi="Times New Roman" w:eastAsia="宋体" w:cs="Times New Roman"/>
                <w:kern w:val="2"/>
                <w:sz w:val="21"/>
                <w:szCs w:val="24"/>
                <w:lang w:val="en-US" w:eastAsia="zh-CN" w:bidi="ar-SA"/>
              </w:rPr>
              <w:t xml:space="preserve"> for the band combination are given by clause 6.2A.4.1.1 for intra-band contiguous CA in the current version of 38.101-1, no change for PC1.5</w:t>
            </w:r>
          </w:p>
          <w:p>
            <w:pPr>
              <w:keepNext/>
              <w:keepLines/>
              <w:pageBreakBefore w:val="0"/>
              <w:widowControl w:val="0"/>
              <w:numPr>
                <w:ilvl w:val="0"/>
                <w:numId w:val="7"/>
              </w:numPr>
              <w:kinsoku/>
              <w:wordWrap/>
              <w:overflowPunct w:val="0"/>
              <w:topLinePunct w:val="0"/>
              <w:autoSpaceDE w:val="0"/>
              <w:autoSpaceDN w:val="0"/>
              <w:bidi w:val="0"/>
              <w:adjustRightInd w:val="0"/>
              <w:snapToGrid/>
              <w:spacing w:before="120" w:beforeLines="0" w:after="120" w:afterLines="0"/>
              <w:ind w:left="420" w:hanging="420" w:firstLineChars="0"/>
              <w:jc w:val="both"/>
              <w:textAlignment w:val="baseline"/>
              <w:rPr>
                <w:rFonts w:ascii="Times New Roman" w:hAnsi="Times New Roman" w:eastAsia="ＭＳ 明朝"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For a non-contiguous intra-band combination with PC1.5 capability supporting dualPA-Architecture</w:t>
            </w:r>
          </w:p>
          <w:p>
            <w:pPr>
              <w:keepNext/>
              <w:keepLines/>
              <w:pageBreakBefore w:val="0"/>
              <w:widowControl w:val="0"/>
              <w:numPr>
                <w:ilvl w:val="1"/>
                <w:numId w:val="7"/>
              </w:numPr>
              <w:kinsoku/>
              <w:wordWrap/>
              <w:overflowPunct w:val="0"/>
              <w:topLinePunct w:val="0"/>
              <w:autoSpaceDE w:val="0"/>
              <w:autoSpaceDN w:val="0"/>
              <w:bidi w:val="0"/>
              <w:adjustRightInd w:val="0"/>
              <w:snapToGrid/>
              <w:spacing w:before="120" w:beforeLines="0" w:after="120" w:afterLines="0"/>
              <w:ind w:left="840" w:hanging="420" w:firstLineChars="0"/>
              <w:jc w:val="both"/>
              <w:textAlignment w:val="baseline"/>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F</w:t>
            </w:r>
            <w:r>
              <w:rPr>
                <w:rFonts w:ascii="Times New Roman" w:hAnsi="Times New Roman" w:eastAsia="宋体" w:cs="Times New Roman"/>
                <w:kern w:val="2"/>
                <w:sz w:val="21"/>
                <w:szCs w:val="24"/>
                <w:lang w:val="en-US" w:eastAsia="zh-CN" w:bidi="ar-SA"/>
              </w:rPr>
              <w:t>or P</w:t>
            </w:r>
            <w:r>
              <w:rPr>
                <w:rFonts w:ascii="Times New Roman" w:hAnsi="Times New Roman" w:eastAsia="宋体" w:cs="Times New Roman"/>
                <w:kern w:val="2"/>
                <w:sz w:val="21"/>
                <w:szCs w:val="24"/>
                <w:u w:val="single"/>
                <w:vertAlign w:val="subscript"/>
                <w:lang w:val="en-US" w:eastAsia="zh-CN" w:bidi="ar-SA"/>
              </w:rPr>
              <w:t>CMAX,f,c</w:t>
            </w:r>
            <w:r>
              <w:rPr>
                <w:rFonts w:ascii="Times New Roman" w:hAnsi="Times New Roman" w:eastAsia="宋体" w:cs="Times New Roman"/>
                <w:kern w:val="2"/>
                <w:sz w:val="21"/>
                <w:szCs w:val="24"/>
                <w:lang w:val="en-US" w:eastAsia="zh-CN" w:bidi="ar-SA"/>
              </w:rPr>
              <w:t>, keep the following last meeting’s agreement, and the detailed wording can be discussed based on the CR in future</w:t>
            </w:r>
          </w:p>
          <w:p>
            <w:pPr>
              <w:keepNext/>
              <w:keepLines/>
              <w:pageBreakBefore w:val="0"/>
              <w:widowControl w:val="0"/>
              <w:kinsoku/>
              <w:wordWrap/>
              <w:overflowPunct w:val="0"/>
              <w:topLinePunct w:val="0"/>
              <w:autoSpaceDE w:val="0"/>
              <w:autoSpaceDN w:val="0"/>
              <w:bidi w:val="0"/>
              <w:adjustRightInd w:val="0"/>
              <w:snapToGrid/>
              <w:spacing w:before="120" w:beforeLines="0" w:after="120" w:afterLines="0"/>
              <w:ind w:left="840" w:firstLine="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bdr w:val="single" w:color="auto" w:sz="4" w:space="0"/>
                <w:lang w:val="en-US" w:eastAsia="zh-CN" w:bidi="ar-SA"/>
              </w:rPr>
              <w:drawing>
                <wp:inline distT="0" distB="0" distL="0" distR="0">
                  <wp:extent cx="5005070" cy="492760"/>
                  <wp:effectExtent l="0" t="0" r="8890"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028687" cy="495326"/>
                          </a:xfrm>
                          <a:prstGeom prst="rect">
                            <a:avLst/>
                          </a:prstGeom>
                        </pic:spPr>
                      </pic:pic>
                    </a:graphicData>
                  </a:graphic>
                </wp:inline>
              </w:drawing>
            </w:r>
          </w:p>
          <w:p>
            <w:pPr>
              <w:keepNext/>
              <w:keepLines/>
              <w:pageBreakBefore w:val="0"/>
              <w:widowControl w:val="0"/>
              <w:numPr>
                <w:ilvl w:val="1"/>
                <w:numId w:val="7"/>
              </w:numPr>
              <w:kinsoku/>
              <w:wordWrap/>
              <w:overflowPunct w:val="0"/>
              <w:topLinePunct w:val="0"/>
              <w:autoSpaceDE w:val="0"/>
              <w:autoSpaceDN w:val="0"/>
              <w:bidi w:val="0"/>
              <w:adjustRightInd w:val="0"/>
              <w:snapToGrid/>
              <w:spacing w:before="120" w:beforeLines="0" w:after="120" w:afterLines="0"/>
              <w:ind w:left="840" w:hanging="420" w:firstLineChars="0"/>
              <w:jc w:val="both"/>
              <w:textAlignment w:val="baseline"/>
              <w:rPr>
                <w:rFonts w:hint="eastAsia" w:cs="Times New Roman"/>
                <w:i w:val="0"/>
                <w:iCs w:val="0"/>
                <w:sz w:val="20"/>
                <w:szCs w:val="22"/>
                <w:highlight w:val="none"/>
                <w:vertAlign w:val="baseline"/>
                <w:lang w:val="en-US" w:eastAsia="zh-CN"/>
              </w:rPr>
            </w:pPr>
            <w:r>
              <w:rPr>
                <w:rFonts w:ascii="Times New Roman" w:hAnsi="Times New Roman" w:eastAsia="宋体" w:cs="Times New Roman"/>
                <w:kern w:val="2"/>
                <w:sz w:val="21"/>
                <w:szCs w:val="24"/>
                <w:lang w:val="en-US" w:eastAsia="zh-CN" w:bidi="ar-SA"/>
              </w:rPr>
              <w:t>For P</w:t>
            </w:r>
            <w:r>
              <w:rPr>
                <w:rFonts w:ascii="Times New Roman" w:hAnsi="Times New Roman" w:eastAsia="宋体" w:cs="Times New Roman"/>
                <w:kern w:val="2"/>
                <w:sz w:val="21"/>
                <w:szCs w:val="24"/>
                <w:vertAlign w:val="subscript"/>
                <w:lang w:val="en-US" w:eastAsia="zh-CN" w:bidi="ar-SA"/>
              </w:rPr>
              <w:t>CMAX</w:t>
            </w:r>
            <w:r>
              <w:rPr>
                <w:rFonts w:ascii="Times New Roman" w:hAnsi="Times New Roman" w:eastAsia="宋体" w:cs="Times New Roman"/>
                <w:kern w:val="2"/>
                <w:sz w:val="21"/>
                <w:szCs w:val="24"/>
                <w:lang w:val="en-US" w:eastAsia="zh-CN" w:bidi="ar-SA"/>
              </w:rPr>
              <w:t>, FFS</w:t>
            </w:r>
          </w:p>
        </w:tc>
      </w:tr>
    </w:tbl>
    <w:p>
      <w:pPr>
        <w:keepNext/>
        <w:keepLines/>
        <w:pageBreakBefore w:val="0"/>
        <w:widowControl w:val="0"/>
        <w:numPr>
          <w:ilvl w:val="-1"/>
          <w:numId w:val="0"/>
        </w:numPr>
        <w:kinsoku/>
        <w:wordWrap/>
        <w:overflowPunct w:val="0"/>
        <w:topLinePunct w:val="0"/>
        <w:autoSpaceDE w:val="0"/>
        <w:autoSpaceDN w:val="0"/>
        <w:bidi w:val="0"/>
        <w:adjustRightInd w:val="0"/>
        <w:ind w:left="0" w:firstLine="0" w:firstLineChars="0"/>
        <w:jc w:val="left"/>
        <w:textAlignment w:val="baseline"/>
        <w:rPr>
          <w:rFonts w:hint="default" w:cs="Times New Roman"/>
          <w:i w:val="0"/>
          <w:iCs w:val="0"/>
          <w:sz w:val="20"/>
          <w:szCs w:val="22"/>
          <w:highlight w:val="none"/>
          <w:lang w:val="en-US" w:eastAsia="zh-CN"/>
        </w:rPr>
      </w:pPr>
      <w:r>
        <w:rPr>
          <w:rFonts w:hint="eastAsia" w:cs="Times New Roman"/>
          <w:i w:val="0"/>
          <w:iCs w:val="0"/>
          <w:sz w:val="20"/>
          <w:szCs w:val="22"/>
          <w:highlight w:val="none"/>
          <w:lang w:val="en-US" w:eastAsia="zh-CN"/>
        </w:rPr>
        <w:t xml:space="preserve">In general, we think the assumption would be the same with the existing one, i.e. </w:t>
      </w:r>
      <w:r>
        <w:rPr>
          <w:rFonts w:ascii="Times New Roman" w:hAnsi="Times New Roman" w:eastAsia="宋体" w:cs="Times New Roman"/>
          <w:kern w:val="2"/>
          <w:sz w:val="21"/>
          <w:szCs w:val="24"/>
          <w:highlight w:val="none"/>
          <w:lang w:val="en-US" w:eastAsia="zh-CN" w:bidi="ar-SA"/>
        </w:rPr>
        <w:t>equal PSD</w:t>
      </w:r>
      <w:r>
        <w:rPr>
          <w:rFonts w:hint="eastAsia" w:cs="Times New Roman"/>
          <w:kern w:val="2"/>
          <w:sz w:val="21"/>
          <w:szCs w:val="24"/>
          <w:highlight w:val="none"/>
          <w:lang w:val="en-US" w:eastAsia="zh-CN" w:bidi="ar-SA"/>
        </w:rPr>
        <w:t xml:space="preserve"> assumption since the </w:t>
      </w:r>
      <w:r>
        <w:rPr>
          <w:lang w:val="en-US"/>
        </w:rPr>
        <w:t>MPR</w:t>
      </w:r>
      <w:r>
        <w:rPr>
          <w:vertAlign w:val="subscript"/>
          <w:lang w:val="en-US"/>
        </w:rPr>
        <w:t xml:space="preserve">c </w:t>
      </w:r>
      <w:r>
        <w:rPr>
          <w:lang w:val="en-US"/>
        </w:rPr>
        <w:t>is the same for each UL CC and the same as the MPR for the total intra-band power</w:t>
      </w:r>
      <w:r>
        <w:rPr>
          <w:rFonts w:hint="eastAsia"/>
          <w:lang w:val="en-US" w:eastAsia="zh-CN"/>
        </w:rPr>
        <w:t xml:space="preserve"> according to the specification. It is true that when the large non-equal PSD between CCs is assumed, then emission out of each CC would be large different, and lower RB would cause higher leakage emission. We think the situation is existed for either intra-band contiguous CA or intra-band non-contiguous CA no matter PC3/2/1.5 power class. In addition to that, RAN5 specify the test configurations of RB allocatation in each CC for the MPR requirement testing. But in RAN4 spec, the MPR requirements should be applied to any UL PSD imbalance across uplink carriers, this is aligned with the</w:t>
      </w:r>
      <w:r>
        <w:rPr>
          <w:rFonts w:hint="eastAsia" w:cs="Times New Roman"/>
          <w:i w:val="0"/>
          <w:iCs w:val="0"/>
          <w:sz w:val="20"/>
          <w:szCs w:val="22"/>
          <w:highlight w:val="none"/>
          <w:lang w:val="en-US" w:eastAsia="zh-CN"/>
        </w:rPr>
        <w:t xml:space="preserve"> current specification, where the PSD information for MSD are not explicated in the texts of MPR definition.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iCs/>
          <w:kern w:val="2"/>
          <w:sz w:val="21"/>
          <w:szCs w:val="24"/>
          <w:highlight w:val="none"/>
          <w:lang w:val="en-US" w:eastAsia="zh-CN" w:bidi="ar-SA"/>
        </w:rPr>
      </w:pPr>
      <w:bookmarkStart w:id="20" w:name="OLE_LINK20"/>
      <w:r>
        <w:rPr>
          <w:rFonts w:hint="eastAsia" w:cs="Times New Roman"/>
          <w:b/>
          <w:bCs/>
          <w:i/>
          <w:iCs/>
          <w:sz w:val="20"/>
          <w:szCs w:val="20"/>
          <w:lang w:val="en-US" w:eastAsia="zh-CN"/>
        </w:rPr>
        <w:t xml:space="preserve">Proposal 1: To reuse the existing same </w:t>
      </w:r>
      <w:r>
        <w:rPr>
          <w:rFonts w:hint="eastAsia" w:cs="Times New Roman"/>
          <w:b/>
          <w:bCs/>
          <w:i/>
          <w:iCs/>
          <w:sz w:val="20"/>
          <w:szCs w:val="22"/>
          <w:highlight w:val="none"/>
          <w:lang w:val="en-US" w:eastAsia="zh-CN"/>
        </w:rPr>
        <w:t xml:space="preserve">methodology, i.e. </w:t>
      </w:r>
      <w:r>
        <w:rPr>
          <w:rFonts w:ascii="Times New Roman" w:hAnsi="Times New Roman" w:eastAsia="宋体" w:cs="Times New Roman"/>
          <w:b/>
          <w:bCs/>
          <w:i/>
          <w:iCs/>
          <w:kern w:val="2"/>
          <w:sz w:val="21"/>
          <w:szCs w:val="24"/>
          <w:highlight w:val="none"/>
          <w:lang w:val="en-US" w:eastAsia="zh-CN" w:bidi="ar-SA"/>
        </w:rPr>
        <w:t>equal PSD</w:t>
      </w:r>
      <w:r>
        <w:rPr>
          <w:rFonts w:hint="eastAsia" w:cs="Times New Roman"/>
          <w:b/>
          <w:bCs/>
          <w:i/>
          <w:iCs/>
          <w:kern w:val="2"/>
          <w:sz w:val="21"/>
          <w:szCs w:val="24"/>
          <w:highlight w:val="none"/>
          <w:lang w:val="en-US" w:eastAsia="zh-CN" w:bidi="ar-SA"/>
        </w:rPr>
        <w:t xml:space="preserve"> assumption to defined the requirements.</w:t>
      </w:r>
    </w:p>
    <w:p>
      <w:pPr>
        <w:keepNext/>
        <w:keepLines/>
        <w:pageBreakBefore w:val="0"/>
        <w:widowControl w:val="0"/>
        <w:numPr>
          <w:ilvl w:val="-1"/>
          <w:numId w:val="0"/>
        </w:numPr>
        <w:kinsoku/>
        <w:wordWrap/>
        <w:overflowPunct w:val="0"/>
        <w:topLinePunct w:val="0"/>
        <w:autoSpaceDE w:val="0"/>
        <w:autoSpaceDN w:val="0"/>
        <w:bidi w:val="0"/>
        <w:adjustRightInd w:val="0"/>
        <w:ind w:left="0" w:firstLine="0" w:firstLineChars="0"/>
        <w:jc w:val="left"/>
        <w:textAlignment w:val="baseline"/>
        <w:rPr>
          <w:rFonts w:hint="default" w:cs="Times New Roman"/>
          <w:i w:val="0"/>
          <w:iCs w:val="0"/>
          <w:sz w:val="20"/>
          <w:szCs w:val="22"/>
          <w:highlight w:val="none"/>
          <w:lang w:val="en-US" w:eastAsia="zh-CN"/>
        </w:rPr>
      </w:pPr>
      <w:r>
        <w:rPr>
          <w:rFonts w:hint="eastAsia" w:cs="Times New Roman"/>
          <w:i w:val="0"/>
          <w:iCs w:val="0"/>
          <w:sz w:val="20"/>
          <w:szCs w:val="22"/>
          <w:highlight w:val="none"/>
          <w:lang w:val="en-US" w:eastAsia="zh-CN"/>
        </w:rPr>
        <w:t>For Pcmax the agreements in RAN4 #112 meeting is: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等线" w:cs="Times New Roman"/>
                <w:b/>
                <w:bCs/>
                <w:kern w:val="0"/>
                <w:sz w:val="20"/>
                <w:lang w:val="en-GB" w:eastAsia="en-GB"/>
              </w:rPr>
            </w:pPr>
            <w:r>
              <w:rPr>
                <w:rFonts w:ascii="Times New Roman" w:hAnsi="Times New Roman" w:eastAsia="等线" w:cs="Times New Roman"/>
                <w:b/>
                <w:bCs/>
                <w:kern w:val="0"/>
                <w:sz w:val="20"/>
                <w:lang w:val="en-GB" w:eastAsia="en-GB"/>
              </w:rPr>
              <w:t xml:space="preserve">Online agreement with adhoc modification: </w:t>
            </w:r>
          </w:p>
          <w:p>
            <w:pPr>
              <w:numPr>
                <w:ilvl w:val="0"/>
                <w:numId w:val="8"/>
              </w:numPr>
              <w:overflowPunct w:val="0"/>
              <w:autoSpaceDE w:val="0"/>
              <w:autoSpaceDN w:val="0"/>
              <w:adjustRightInd w:val="0"/>
              <w:spacing w:beforeLines="-2147483648" w:after="180" w:afterLines="-2147483648" w:line="240" w:lineRule="auto"/>
              <w:ind w:left="420" w:hanging="420"/>
              <w:jc w:val="left"/>
              <w:textAlignment w:val="baseline"/>
              <w:rPr>
                <w:rFonts w:hint="default" w:cs="Times New Roman"/>
                <w:b/>
                <w:bCs/>
                <w:i/>
                <w:iCs/>
                <w:kern w:val="2"/>
                <w:sz w:val="21"/>
                <w:szCs w:val="24"/>
                <w:highlight w:val="none"/>
                <w:vertAlign w:val="baseline"/>
                <w:lang w:val="en-US" w:eastAsia="zh-CN" w:bidi="ar-SA"/>
              </w:rPr>
            </w:pPr>
            <w:r>
              <w:rPr>
                <w:rFonts w:ascii="Times New Roman" w:hAnsi="Times New Roman" w:eastAsia="Malgun Gothic" w:cs="Times New Roman"/>
                <w:kern w:val="0"/>
                <w:sz w:val="20"/>
                <w:szCs w:val="24"/>
                <w:lang w:val="en-US" w:eastAsia="ko-KR"/>
              </w:rPr>
              <w:t xml:space="preserve">For intra-band contiguous ULCA with 2Tx-TxD, the upper bound of Pcmax is 29dBm </w:t>
            </w:r>
          </w:p>
          <w:p>
            <w:pPr>
              <w:numPr>
                <w:ilvl w:val="0"/>
                <w:numId w:val="8"/>
              </w:numPr>
              <w:overflowPunct w:val="0"/>
              <w:autoSpaceDE w:val="0"/>
              <w:autoSpaceDN w:val="0"/>
              <w:adjustRightInd w:val="0"/>
              <w:spacing w:beforeLines="-2147483648" w:after="180" w:afterLines="-2147483648" w:line="240" w:lineRule="auto"/>
              <w:ind w:left="420" w:hanging="420"/>
              <w:jc w:val="left"/>
              <w:textAlignment w:val="baseline"/>
              <w:rPr>
                <w:rFonts w:hint="default" w:cs="Times New Roman"/>
                <w:b/>
                <w:bCs/>
                <w:i/>
                <w:iCs/>
                <w:kern w:val="2"/>
                <w:sz w:val="21"/>
                <w:szCs w:val="24"/>
                <w:highlight w:val="none"/>
                <w:vertAlign w:val="baseline"/>
                <w:lang w:val="en-US" w:eastAsia="zh-CN" w:bidi="ar-SA"/>
              </w:rPr>
            </w:pPr>
            <w:r>
              <w:rPr>
                <w:rFonts w:ascii="Times New Roman" w:hAnsi="Times New Roman" w:eastAsia="Malgun Gothic" w:cs="Times New Roman"/>
                <w:kern w:val="0"/>
                <w:sz w:val="20"/>
                <w:szCs w:val="24"/>
                <w:lang w:val="en-US" w:eastAsia="ko-KR"/>
              </w:rPr>
              <w:t xml:space="preserve">For intra-band UL NC CA with dual PA architecture, the upper bound of Pcmax is 29dBm </w:t>
            </w:r>
          </w:p>
        </w:tc>
      </w:tr>
    </w:tbl>
    <w:p>
      <w:pPr>
        <w:rPr>
          <w:lang w:bidi="bn-IN"/>
        </w:rPr>
      </w:pPr>
      <w:r>
        <w:rPr>
          <w:lang w:bidi="bn-IN"/>
        </w:rPr>
        <w:t>P</w:t>
      </w:r>
      <w:r>
        <w:rPr>
          <w:vertAlign w:val="subscript"/>
          <w:lang w:bidi="bn-IN"/>
        </w:rPr>
        <w:t>CMAX</w:t>
      </w:r>
      <w:r>
        <w:rPr>
          <w:lang w:bidi="bn-IN"/>
        </w:rPr>
        <w:t xml:space="preserve"> </w:t>
      </w:r>
      <w:r>
        <w:rPr>
          <w:rFonts w:hint="eastAsia"/>
          <w:lang w:val="en-US" w:eastAsia="zh-CN" w:bidi="bn-IN"/>
        </w:rPr>
        <w:t>is t</w:t>
      </w:r>
      <w:r>
        <w:rPr>
          <w:lang w:bidi="bn-IN"/>
        </w:rPr>
        <w:t>he total configured maximum output power</w:t>
      </w:r>
      <w:r>
        <w:rPr>
          <w:rFonts w:hint="eastAsia"/>
          <w:lang w:val="en-US" w:eastAsia="zh-CN" w:bidi="bn-IN"/>
        </w:rPr>
        <w:t xml:space="preserve"> and is</w:t>
      </w:r>
      <w:r>
        <w:rPr>
          <w:lang w:bidi="bn-IN"/>
        </w:rPr>
        <w:t xml:space="preserve"> set within the following bounds:</w:t>
      </w:r>
    </w:p>
    <w:p>
      <w:pPr>
        <w:pStyle w:val="50"/>
        <w:rPr>
          <w:lang w:bidi="bn-IN"/>
        </w:rPr>
      </w:pPr>
      <w:r>
        <w:rPr>
          <w:lang w:bidi="bn-IN"/>
        </w:rPr>
        <w:tab/>
      </w:r>
      <w:r>
        <w:rPr>
          <w:lang w:bidi="bn-IN"/>
        </w:rPr>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vertAlign w:val="baseline"/>
          <w:lang w:val="en-US" w:eastAsia="zh-CN" w:bidi="bn-IN"/>
        </w:rPr>
      </w:pPr>
      <w:r>
        <w:rPr>
          <w:rFonts w:hint="eastAsia" w:cs="Times New Roman"/>
          <w:i w:val="0"/>
          <w:iCs w:val="0"/>
          <w:sz w:val="20"/>
          <w:szCs w:val="20"/>
          <w:highlight w:val="none"/>
          <w:lang w:val="en-US" w:eastAsia="zh-CN"/>
        </w:rPr>
        <w:t xml:space="preserve">For PC1.5 UL inter-band CA, it was already agreed that the upper </w:t>
      </w:r>
      <w:r>
        <w:rPr>
          <w:rFonts w:ascii="Times New Roman" w:hAnsi="Times New Roman" w:eastAsia="Malgun Gothic" w:cs="Times New Roman"/>
          <w:kern w:val="0"/>
          <w:sz w:val="20"/>
          <w:szCs w:val="20"/>
          <w:lang w:val="en-US" w:eastAsia="ko-KR"/>
        </w:rPr>
        <w:t>bound of Pcmax is 29dBm</w:t>
      </w:r>
      <w:r>
        <w:rPr>
          <w:rFonts w:hint="eastAsia" w:eastAsia="宋体" w:cs="Times New Roman"/>
          <w:kern w:val="0"/>
          <w:sz w:val="20"/>
          <w:szCs w:val="20"/>
          <w:lang w:val="en-US" w:eastAsia="zh-CN"/>
        </w:rPr>
        <w:t xml:space="preserve"> for both intra-band contiguous CA and intra-band non-contiguous CA, which 29dBm is the </w:t>
      </w:r>
      <w:r>
        <w:rPr>
          <w:sz w:val="20"/>
          <w:szCs w:val="20"/>
          <w:lang w:bidi="bn-IN"/>
        </w:rPr>
        <w:t>P</w:t>
      </w:r>
      <w:r>
        <w:rPr>
          <w:sz w:val="20"/>
          <w:szCs w:val="20"/>
          <w:vertAlign w:val="subscript"/>
          <w:lang w:bidi="bn-IN"/>
        </w:rPr>
        <w:t>PowerClass,CA</w:t>
      </w:r>
      <w:r>
        <w:rPr>
          <w:rFonts w:hint="eastAsia"/>
          <w:sz w:val="20"/>
          <w:szCs w:val="20"/>
          <w:vertAlign w:val="subscript"/>
          <w:lang w:val="en-US" w:eastAsia="zh-CN" w:bidi="bn-IN"/>
        </w:rPr>
        <w:t xml:space="preserve"> </w:t>
      </w:r>
      <w:r>
        <w:rPr>
          <w:rFonts w:hint="eastAsia"/>
          <w:sz w:val="20"/>
          <w:szCs w:val="20"/>
          <w:vertAlign w:val="baseline"/>
          <w:lang w:val="en-US" w:eastAsia="zh-CN" w:bidi="bn-IN"/>
        </w:rPr>
        <w:t xml:space="preserve">=PC1.5. Hence it seems no changes of specification for Pcmax for both </w:t>
      </w:r>
      <w:r>
        <w:rPr>
          <w:rFonts w:ascii="Times New Roman" w:hAnsi="Times New Roman" w:eastAsia="Malgun Gothic" w:cs="Times New Roman"/>
          <w:kern w:val="0"/>
          <w:sz w:val="20"/>
          <w:szCs w:val="24"/>
          <w:lang w:val="en-US" w:eastAsia="ko-KR"/>
        </w:rPr>
        <w:t>intra-band contiguous ULCA with 2Tx-TxD</w:t>
      </w:r>
      <w:r>
        <w:rPr>
          <w:rFonts w:hint="eastAsia" w:eastAsia="宋体" w:cs="Times New Roman"/>
          <w:kern w:val="0"/>
          <w:sz w:val="20"/>
          <w:szCs w:val="24"/>
          <w:lang w:val="en-US" w:eastAsia="zh-CN"/>
        </w:rPr>
        <w:t xml:space="preserve"> and </w:t>
      </w:r>
      <w:r>
        <w:rPr>
          <w:rFonts w:ascii="Times New Roman" w:hAnsi="Times New Roman" w:eastAsia="Malgun Gothic" w:cs="Times New Roman"/>
          <w:kern w:val="0"/>
          <w:sz w:val="20"/>
          <w:szCs w:val="24"/>
          <w:lang w:val="en-US" w:eastAsia="ko-KR"/>
        </w:rPr>
        <w:t>intra-band UL NC CA with dual PA architecture</w:t>
      </w:r>
      <w:r>
        <w:rPr>
          <w:rFonts w:hint="eastAsia"/>
          <w:sz w:val="20"/>
          <w:szCs w:val="20"/>
          <w:vertAlign w:val="baseline"/>
          <w:lang w:val="en-US" w:eastAsia="zh-CN" w:bidi="bn-IN"/>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sz w:val="20"/>
          <w:szCs w:val="20"/>
          <w:vertAlign w:val="baseline"/>
          <w:lang w:val="en-US" w:eastAsia="zh-CN" w:bidi="bn-IN"/>
        </w:rPr>
      </w:pPr>
      <w:r>
        <w:rPr>
          <w:rFonts w:hint="eastAsia" w:cs="Times New Roman"/>
          <w:b/>
          <w:bCs/>
          <w:i/>
          <w:iCs/>
          <w:sz w:val="20"/>
          <w:szCs w:val="20"/>
          <w:lang w:val="en-US" w:eastAsia="zh-CN"/>
        </w:rPr>
        <w:t xml:space="preserve">Proposal 2: No changes of specification for Pcmax.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vertAlign w:val="baseline"/>
          <w:lang w:val="en-US" w:eastAsia="zh-CN" w:bidi="bn-IN"/>
        </w:rPr>
      </w:pPr>
      <w:r>
        <w:rPr>
          <w:rFonts w:hint="eastAsia"/>
          <w:sz w:val="20"/>
          <w:szCs w:val="20"/>
          <w:vertAlign w:val="baseline"/>
          <w:lang w:val="en-US" w:eastAsia="zh-CN" w:bidi="bn-IN"/>
        </w:rPr>
        <w:t xml:space="preserve">For </w:t>
      </w:r>
      <w:r>
        <w:rPr>
          <w:rFonts w:hint="eastAsia" w:cs="Times New Roman"/>
          <w:i w:val="0"/>
          <w:iCs w:val="0"/>
          <w:sz w:val="20"/>
          <w:szCs w:val="20"/>
          <w:highlight w:val="none"/>
          <w:lang w:val="en-US" w:eastAsia="zh-CN"/>
        </w:rPr>
        <w:t>Pcmax,c the agreements in RAN4 #112 meeting is: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ascii="Arial" w:hAnsi="Arial"/>
                <w:sz w:val="20"/>
                <w:szCs w:val="20"/>
                <w:lang w:eastAsia="zh-CN"/>
              </w:rPr>
            </w:pPr>
            <w:r>
              <w:rPr>
                <w:rFonts w:hint="eastAsia"/>
                <w:sz w:val="20"/>
                <w:szCs w:val="20"/>
                <w:vertAlign w:val="baseline"/>
                <w:lang w:val="en-US" w:eastAsia="zh-CN" w:bidi="bn-IN"/>
              </w:rPr>
              <w:t xml:space="preserve"> </w:t>
            </w:r>
            <w:r>
              <w:rPr>
                <w:rFonts w:ascii="Arial" w:hAnsi="Arial"/>
                <w:sz w:val="20"/>
                <w:szCs w:val="20"/>
                <w:lang w:eastAsia="en-GB"/>
              </w:rPr>
              <w:t>P</w:t>
            </w:r>
            <w:r>
              <w:rPr>
                <w:rFonts w:ascii="Arial" w:hAnsi="Arial"/>
                <w:sz w:val="20"/>
                <w:szCs w:val="20"/>
                <w:vertAlign w:val="subscript"/>
                <w:lang w:eastAsia="en-GB"/>
              </w:rPr>
              <w:t xml:space="preserve">CMAX,C </w:t>
            </w:r>
          </w:p>
          <w:p>
            <w:pPr>
              <w:overflowPunct w:val="0"/>
              <w:autoSpaceDE w:val="0"/>
              <w:autoSpaceDN w:val="0"/>
              <w:adjustRightInd w:val="0"/>
              <w:spacing w:after="180"/>
              <w:textAlignment w:val="baseline"/>
              <w:rPr>
                <w:rFonts w:eastAsia="等线"/>
                <w:sz w:val="20"/>
                <w:szCs w:val="20"/>
                <w:lang w:eastAsia="en-GB"/>
              </w:rPr>
            </w:pPr>
            <w:bookmarkStart w:id="21" w:name="_Hlk175006540"/>
            <w:r>
              <w:rPr>
                <w:rFonts w:eastAsia="等线"/>
                <w:b/>
                <w:bCs/>
                <w:sz w:val="20"/>
                <w:szCs w:val="20"/>
                <w:lang w:eastAsia="en-GB"/>
              </w:rPr>
              <w:t>A</w:t>
            </w:r>
            <w:r>
              <w:rPr>
                <w:rFonts w:hint="eastAsia" w:eastAsia="等线"/>
                <w:b/>
                <w:bCs/>
                <w:sz w:val="20"/>
                <w:szCs w:val="20"/>
                <w:lang w:eastAsia="zh-CN"/>
              </w:rPr>
              <w:t>dh</w:t>
            </w:r>
            <w:r>
              <w:rPr>
                <w:rFonts w:eastAsia="等线"/>
                <w:b/>
                <w:bCs/>
                <w:sz w:val="20"/>
                <w:szCs w:val="20"/>
                <w:lang w:eastAsia="zh-CN"/>
              </w:rPr>
              <w:t xml:space="preserve">oc </w:t>
            </w:r>
            <w:r>
              <w:rPr>
                <w:rFonts w:eastAsia="等线"/>
                <w:b/>
                <w:bCs/>
                <w:sz w:val="20"/>
                <w:szCs w:val="20"/>
                <w:lang w:eastAsia="en-GB"/>
              </w:rPr>
              <w:t xml:space="preserve">agreement: </w:t>
            </w:r>
          </w:p>
          <w:p>
            <w:pPr>
              <w:numPr>
                <w:ilvl w:val="0"/>
                <w:numId w:val="7"/>
              </w:numPr>
              <w:overflowPunct w:val="0"/>
              <w:autoSpaceDE w:val="0"/>
              <w:autoSpaceDN w:val="0"/>
              <w:adjustRightInd w:val="0"/>
              <w:spacing w:after="180"/>
              <w:textAlignment w:val="baseline"/>
              <w:rPr>
                <w:sz w:val="20"/>
                <w:szCs w:val="20"/>
                <w:lang w:eastAsia="en-GB"/>
              </w:rPr>
            </w:pPr>
            <w:bookmarkStart w:id="22" w:name="_Hlk178688865"/>
            <w:r>
              <w:rPr>
                <w:sz w:val="20"/>
                <w:szCs w:val="20"/>
                <w:lang w:eastAsia="en-GB"/>
              </w:rPr>
              <w:t>For intra-band UL NC CA with</w:t>
            </w:r>
            <w:r>
              <w:rPr>
                <w:rFonts w:hint="eastAsia"/>
                <w:sz w:val="20"/>
                <w:szCs w:val="20"/>
                <w:lang w:eastAsia="en-GB"/>
              </w:rPr>
              <w:t xml:space="preserve"> dualPA-architecture,</w:t>
            </w:r>
            <w:r>
              <w:rPr>
                <w:sz w:val="20"/>
                <w:szCs w:val="20"/>
                <w:lang w:eastAsia="en-GB"/>
              </w:rPr>
              <w:t xml:space="preserve"> the upper bound of Pcmax,c is 26dBm per CC</w:t>
            </w:r>
          </w:p>
          <w:p>
            <w:pPr>
              <w:numPr>
                <w:ilvl w:val="1"/>
                <w:numId w:val="7"/>
              </w:numPr>
              <w:overflowPunct w:val="0"/>
              <w:autoSpaceDE w:val="0"/>
              <w:autoSpaceDN w:val="0"/>
              <w:adjustRightInd w:val="0"/>
              <w:spacing w:after="180"/>
              <w:textAlignment w:val="baseline"/>
              <w:rPr>
                <w:rFonts w:eastAsia="等线"/>
                <w:sz w:val="20"/>
                <w:szCs w:val="20"/>
                <w:lang w:eastAsia="en-GB"/>
              </w:rPr>
            </w:pPr>
            <w:r>
              <w:rPr>
                <w:rFonts w:eastAsia="等线"/>
                <w:sz w:val="20"/>
                <w:szCs w:val="20"/>
                <w:lang w:eastAsia="en-GB"/>
              </w:rPr>
              <w:t>Whether or how to reflect the above agreement in spec is FFS</w:t>
            </w:r>
            <w:r>
              <w:rPr>
                <w:rFonts w:hint="eastAsia" w:eastAsia="等线"/>
                <w:sz w:val="20"/>
                <w:szCs w:val="20"/>
                <w:lang w:eastAsia="en-GB"/>
              </w:rPr>
              <w:t xml:space="preserve"> </w:t>
            </w:r>
            <w:r>
              <w:rPr>
                <w:rFonts w:eastAsia="等线"/>
                <w:sz w:val="20"/>
                <w:szCs w:val="20"/>
                <w:lang w:eastAsia="en-GB"/>
              </w:rPr>
              <w:t xml:space="preserve"> </w:t>
            </w:r>
          </w:p>
          <w:p>
            <w:pPr>
              <w:numPr>
                <w:ilvl w:val="0"/>
                <w:numId w:val="7"/>
              </w:numPr>
              <w:overflowPunct w:val="0"/>
              <w:autoSpaceDE w:val="0"/>
              <w:autoSpaceDN w:val="0"/>
              <w:adjustRightInd w:val="0"/>
              <w:spacing w:after="180"/>
              <w:textAlignment w:val="baseline"/>
              <w:rPr>
                <w:sz w:val="20"/>
                <w:szCs w:val="20"/>
                <w:lang w:eastAsia="en-GB"/>
              </w:rPr>
            </w:pPr>
            <w:r>
              <w:rPr>
                <w:sz w:val="20"/>
                <w:szCs w:val="20"/>
                <w:lang w:eastAsia="en-GB"/>
              </w:rPr>
              <w:t>For intra-band UL contiguous CA with</w:t>
            </w:r>
            <w:r>
              <w:rPr>
                <w:rFonts w:hint="eastAsia"/>
                <w:sz w:val="20"/>
                <w:szCs w:val="20"/>
                <w:lang w:eastAsia="en-GB"/>
              </w:rPr>
              <w:t xml:space="preserve"> </w:t>
            </w:r>
            <w:r>
              <w:rPr>
                <w:sz w:val="20"/>
                <w:szCs w:val="20"/>
                <w:lang w:eastAsia="en-GB"/>
              </w:rPr>
              <w:t>TxD</w:t>
            </w:r>
            <w:r>
              <w:rPr>
                <w:rFonts w:hint="eastAsia"/>
                <w:sz w:val="20"/>
                <w:szCs w:val="20"/>
                <w:lang w:eastAsia="en-GB"/>
              </w:rPr>
              <w:t>,</w:t>
            </w:r>
            <w:r>
              <w:rPr>
                <w:sz w:val="20"/>
                <w:szCs w:val="20"/>
                <w:lang w:eastAsia="en-GB"/>
              </w:rPr>
              <w:t xml:space="preserve"> the upper bound of Pcmax,c is 29dBm per CC</w:t>
            </w:r>
          </w:p>
          <w:p>
            <w:pPr>
              <w:numPr>
                <w:ilvl w:val="1"/>
                <w:numId w:val="7"/>
              </w:numPr>
              <w:overflowPunct w:val="0"/>
              <w:autoSpaceDE w:val="0"/>
              <w:autoSpaceDN w:val="0"/>
              <w:adjustRightInd w:val="0"/>
              <w:spacing w:after="180"/>
              <w:textAlignment w:val="baseline"/>
              <w:rPr>
                <w:rFonts w:hint="default"/>
                <w:sz w:val="20"/>
                <w:szCs w:val="20"/>
                <w:vertAlign w:val="baseline"/>
                <w:lang w:val="en-US" w:eastAsia="zh-CN" w:bidi="bn-IN"/>
              </w:rPr>
            </w:pPr>
            <w:r>
              <w:rPr>
                <w:rFonts w:eastAsia="等线"/>
                <w:sz w:val="20"/>
                <w:szCs w:val="20"/>
                <w:lang w:eastAsia="en-GB"/>
              </w:rPr>
              <w:t>Whether or how to reflect the above agreement in spec is FFS</w:t>
            </w:r>
            <w:bookmarkEnd w:id="21"/>
            <w:bookmarkEnd w:id="22"/>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vertAlign w:val="baseline"/>
          <w:lang w:val="en-US" w:eastAsia="zh-CN" w:bidi="bn-IN"/>
        </w:rPr>
        <w:t xml:space="preserve">For intra-band </w:t>
      </w:r>
      <w:r>
        <w:rPr>
          <w:sz w:val="20"/>
          <w:szCs w:val="20"/>
          <w:lang w:eastAsia="en-GB"/>
        </w:rPr>
        <w:t>contiguous CA with</w:t>
      </w:r>
      <w:r>
        <w:rPr>
          <w:rFonts w:hint="eastAsia"/>
          <w:sz w:val="20"/>
          <w:szCs w:val="20"/>
          <w:lang w:eastAsia="en-GB"/>
        </w:rPr>
        <w:t xml:space="preserve"> </w:t>
      </w:r>
      <w:r>
        <w:rPr>
          <w:sz w:val="20"/>
          <w:szCs w:val="20"/>
          <w:lang w:eastAsia="en-GB"/>
        </w:rPr>
        <w:t>TxD</w:t>
      </w:r>
      <w:r>
        <w:rPr>
          <w:rFonts w:hint="eastAsia"/>
          <w:sz w:val="20"/>
          <w:szCs w:val="20"/>
          <w:lang w:val="en-US" w:eastAsia="zh-CN"/>
        </w:rPr>
        <w:t xml:space="preserve">, it was already agreed that </w:t>
      </w:r>
      <w:r>
        <w:rPr>
          <w:rFonts w:hint="eastAsia"/>
          <w:sz w:val="20"/>
          <w:szCs w:val="20"/>
          <w:vertAlign w:val="baseline"/>
          <w:lang w:val="en-US" w:eastAsia="zh-CN" w:bidi="bn-IN"/>
        </w:rPr>
        <w:t xml:space="preserve">no changes of specification for Pcmax,c, the current specification can well reflect the </w:t>
      </w:r>
      <w:r>
        <w:rPr>
          <w:sz w:val="20"/>
          <w:szCs w:val="20"/>
          <w:lang w:eastAsia="en-GB"/>
        </w:rPr>
        <w:t>the upper bound of Pcmax,c is 29dBm per CC</w:t>
      </w:r>
      <w:r>
        <w:rPr>
          <w:rFonts w:hint="eastAsia"/>
          <w:sz w:val="20"/>
          <w:szCs w:val="20"/>
          <w:lang w:val="en-US" w:eastAsia="zh-CN"/>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 xml:space="preserve">For </w:t>
      </w:r>
      <w:r>
        <w:rPr>
          <w:sz w:val="20"/>
          <w:szCs w:val="20"/>
          <w:lang w:eastAsia="en-GB"/>
        </w:rPr>
        <w:t>intra-band UL NC CA with</w:t>
      </w:r>
      <w:r>
        <w:rPr>
          <w:rFonts w:hint="eastAsia"/>
          <w:sz w:val="20"/>
          <w:szCs w:val="20"/>
          <w:lang w:eastAsia="en-GB"/>
        </w:rPr>
        <w:t xml:space="preserve"> dualPA-architecture</w:t>
      </w:r>
      <w:r>
        <w:rPr>
          <w:rFonts w:hint="eastAsia"/>
          <w:sz w:val="20"/>
          <w:szCs w:val="20"/>
          <w:lang w:val="en-US" w:eastAsia="zh-CN"/>
        </w:rPr>
        <w:t xml:space="preserve">, due to the </w:t>
      </w:r>
      <w:r>
        <w:rPr>
          <w:sz w:val="20"/>
          <w:szCs w:val="20"/>
          <w:lang w:eastAsia="en-GB"/>
        </w:rPr>
        <w:t>upper bound of Pcmax,c is 26dBm per CC</w:t>
      </w:r>
      <w:r>
        <w:rPr>
          <w:rFonts w:hint="eastAsia"/>
          <w:sz w:val="20"/>
          <w:szCs w:val="20"/>
          <w:lang w:val="en-US" w:eastAsia="zh-CN"/>
        </w:rPr>
        <w:t>, rather than 29dBm, so some changes should be done to reflect the 3dB lower of the CA power class.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b/>
          <w:bCs/>
          <w:i/>
          <w:iCs/>
          <w:sz w:val="20"/>
          <w:szCs w:val="20"/>
          <w:lang w:val="en-US" w:eastAsia="zh-CN"/>
        </w:rPr>
      </w:pPr>
      <w:r>
        <w:rPr>
          <w:rFonts w:hint="eastAsia"/>
          <w:b/>
          <w:bCs/>
          <w:i/>
          <w:iCs/>
          <w:sz w:val="20"/>
          <w:szCs w:val="20"/>
          <w:lang w:val="en-US" w:eastAsia="zh-CN"/>
        </w:rPr>
        <w:t xml:space="preserve">Observation: Some changes should be done to reflect </w:t>
      </w:r>
      <w:r>
        <w:rPr>
          <w:b/>
          <w:bCs/>
          <w:i/>
          <w:iCs/>
          <w:sz w:val="20"/>
          <w:szCs w:val="20"/>
          <w:lang w:eastAsia="en-GB"/>
        </w:rPr>
        <w:t>Pcmax,c</w:t>
      </w:r>
      <w:r>
        <w:rPr>
          <w:rFonts w:hint="eastAsia"/>
          <w:b/>
          <w:bCs/>
          <w:i/>
          <w:iCs/>
          <w:sz w:val="20"/>
          <w:szCs w:val="20"/>
          <w:lang w:val="en-US" w:eastAsia="zh-CN"/>
        </w:rPr>
        <w:t xml:space="preserve"> is 3dB lower than the CA power class (29dBm) f</w:t>
      </w:r>
      <w:r>
        <w:rPr>
          <w:rFonts w:hint="eastAsia"/>
          <w:b/>
          <w:bCs/>
          <w:i/>
          <w:iCs/>
          <w:sz w:val="20"/>
          <w:szCs w:val="20"/>
          <w:lang w:val="en-US" w:eastAsia="en-GB"/>
        </w:rPr>
        <w:t>or intra-band UL NC CA with dualPA-architecture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vertAlign w:val="baseline"/>
          <w:lang w:val="en-US" w:eastAsia="zh-CN" w:bidi="bn-IN"/>
        </w:rPr>
      </w:pPr>
      <w:r>
        <w:rPr>
          <w:rFonts w:hint="eastAsia"/>
          <w:vertAlign w:val="baseline"/>
          <w:lang w:val="en-US" w:eastAsia="zh-CN" w:bidi="bn-IN"/>
        </w:rPr>
        <w:t xml:space="preserve">As stated in the last WF, the changes can be discussed in the CR </w:t>
      </w:r>
      <w:r>
        <w:rPr>
          <w:rFonts w:ascii="Times New Roman" w:hAnsi="Times New Roman" w:eastAsia="宋体" w:cs="Times New Roman"/>
          <w:kern w:val="2"/>
          <w:sz w:val="21"/>
          <w:szCs w:val="24"/>
          <w:lang w:val="en-US" w:eastAsia="zh-CN" w:bidi="ar-SA"/>
        </w:rPr>
        <w:t>in future</w:t>
      </w:r>
      <w:r>
        <w:rPr>
          <w:rFonts w:hint="eastAsia" w:cs="Times New Roman"/>
          <w:kern w:val="2"/>
          <w:sz w:val="21"/>
          <w:szCs w:val="24"/>
          <w:lang w:val="en-US" w:eastAsia="zh-CN" w:bidi="ar-SA"/>
        </w:rPr>
        <w:t>.</w:t>
      </w:r>
    </w:p>
    <w:bookmarkEnd w:id="16"/>
    <w:bookmarkEnd w:id="17"/>
    <w:bookmarkEnd w:id="18"/>
    <w:bookmarkEnd w:id="19"/>
    <w:bookmarkEnd w:id="20"/>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 xml:space="preserve">discussions on </w:t>
      </w:r>
      <w:r>
        <w:rPr>
          <w:rFonts w:hint="eastAsia" w:cs="Times New Roman"/>
          <w:sz w:val="20"/>
          <w:szCs w:val="20"/>
          <w:lang w:val="en-US" w:eastAsia="zh-CN"/>
        </w:rPr>
        <w:t xml:space="preserve">PC1.5 </w:t>
      </w:r>
      <w:r>
        <w:rPr>
          <w:rFonts w:hint="eastAsia" w:cs="Times New Roman"/>
          <w:sz w:val="20"/>
          <w:szCs w:val="20"/>
          <w:lang w:val="en-US" w:eastAsia="ja-JP"/>
        </w:rPr>
        <w:t>Intra-band contiguous and non-contiguous UL CA</w:t>
      </w:r>
      <w:r>
        <w:rPr>
          <w:rFonts w:hint="eastAsia" w:cs="Times New Roman"/>
          <w:sz w:val="20"/>
          <w:szCs w:val="20"/>
          <w:lang w:val="en-US" w:eastAsia="zh-CN"/>
        </w:rPr>
        <w:t>.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iCs/>
          <w:kern w:val="2"/>
          <w:sz w:val="21"/>
          <w:szCs w:val="24"/>
          <w:highlight w:val="none"/>
          <w:lang w:val="en-US" w:eastAsia="zh-CN" w:bidi="ar-SA"/>
        </w:rPr>
      </w:pPr>
      <w:r>
        <w:rPr>
          <w:rFonts w:hint="eastAsia" w:cs="Times New Roman"/>
          <w:b/>
          <w:bCs/>
          <w:i/>
          <w:iCs/>
          <w:sz w:val="20"/>
          <w:szCs w:val="20"/>
          <w:lang w:val="en-US" w:eastAsia="zh-CN"/>
        </w:rPr>
        <w:t xml:space="preserve">Proposal 1: To reuse the existing same </w:t>
      </w:r>
      <w:r>
        <w:rPr>
          <w:rFonts w:hint="eastAsia" w:cs="Times New Roman"/>
          <w:b/>
          <w:bCs/>
          <w:i/>
          <w:iCs/>
          <w:sz w:val="20"/>
          <w:szCs w:val="22"/>
          <w:highlight w:val="none"/>
          <w:lang w:val="en-US" w:eastAsia="zh-CN"/>
        </w:rPr>
        <w:t xml:space="preserve">methodology, i.e. </w:t>
      </w:r>
      <w:r>
        <w:rPr>
          <w:rFonts w:ascii="Times New Roman" w:hAnsi="Times New Roman" w:eastAsia="宋体" w:cs="Times New Roman"/>
          <w:b/>
          <w:bCs/>
          <w:i/>
          <w:iCs/>
          <w:kern w:val="2"/>
          <w:sz w:val="21"/>
          <w:szCs w:val="24"/>
          <w:highlight w:val="none"/>
          <w:lang w:val="en-US" w:eastAsia="zh-CN" w:bidi="ar-SA"/>
        </w:rPr>
        <w:t>equal PSD</w:t>
      </w:r>
      <w:r>
        <w:rPr>
          <w:rFonts w:hint="eastAsia" w:cs="Times New Roman"/>
          <w:b/>
          <w:bCs/>
          <w:i/>
          <w:iCs/>
          <w:kern w:val="2"/>
          <w:sz w:val="21"/>
          <w:szCs w:val="24"/>
          <w:highlight w:val="none"/>
          <w:lang w:val="en-US" w:eastAsia="zh-CN" w:bidi="ar-SA"/>
        </w:rPr>
        <w:t xml:space="preserve"> assumption to defined the requirements.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sz w:val="20"/>
          <w:szCs w:val="20"/>
          <w:vertAlign w:val="baseline"/>
          <w:lang w:val="en-US" w:eastAsia="zh-CN" w:bidi="bn-IN"/>
        </w:rPr>
      </w:pPr>
      <w:r>
        <w:rPr>
          <w:rFonts w:hint="eastAsia" w:cs="Times New Roman"/>
          <w:b/>
          <w:bCs/>
          <w:i/>
          <w:iCs/>
          <w:sz w:val="20"/>
          <w:szCs w:val="20"/>
          <w:lang w:val="en-US" w:eastAsia="zh-CN"/>
        </w:rPr>
        <w:t xml:space="preserve">Proposal 2: No changes of specification for Pcmax.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i/>
          <w:iCs/>
          <w:kern w:val="2"/>
          <w:sz w:val="21"/>
          <w:szCs w:val="24"/>
          <w:highlight w:val="none"/>
          <w:lang w:val="en-US" w:eastAsia="zh-CN" w:bidi="ar-SA"/>
        </w:rPr>
      </w:pPr>
      <w:r>
        <w:rPr>
          <w:rFonts w:hint="eastAsia"/>
          <w:b/>
          <w:bCs/>
          <w:i/>
          <w:iCs/>
          <w:sz w:val="20"/>
          <w:szCs w:val="20"/>
          <w:lang w:val="en-US" w:eastAsia="zh-CN"/>
        </w:rPr>
        <w:t xml:space="preserve">Observation: Some changes should be done to reflect </w:t>
      </w:r>
      <w:r>
        <w:rPr>
          <w:b/>
          <w:bCs/>
          <w:i/>
          <w:iCs/>
          <w:sz w:val="20"/>
          <w:szCs w:val="20"/>
          <w:lang w:eastAsia="en-GB"/>
        </w:rPr>
        <w:t>Pcmax,c</w:t>
      </w:r>
      <w:r>
        <w:rPr>
          <w:rFonts w:hint="eastAsia"/>
          <w:b/>
          <w:bCs/>
          <w:i/>
          <w:iCs/>
          <w:sz w:val="20"/>
          <w:szCs w:val="20"/>
          <w:lang w:val="en-US" w:eastAsia="zh-CN"/>
        </w:rPr>
        <w:t xml:space="preserve"> is 3dB lower than the CA power class (29dBm) f</w:t>
      </w:r>
      <w:r>
        <w:rPr>
          <w:rFonts w:hint="eastAsia"/>
          <w:b/>
          <w:bCs/>
          <w:i/>
          <w:iCs/>
          <w:sz w:val="20"/>
          <w:szCs w:val="20"/>
          <w:lang w:val="en-US" w:eastAsia="en-GB"/>
        </w:rPr>
        <w:t>or intra-band UL NC CA with dualPA-architecture</w:t>
      </w:r>
      <w:r>
        <w:rPr>
          <w:rFonts w:hint="eastAsia"/>
          <w:b/>
          <w:bCs/>
          <w:i/>
          <w:iCs/>
          <w:sz w:val="20"/>
          <w:szCs w:val="20"/>
          <w:lang w:val="en-US" w:eastAsia="zh-CN"/>
        </w:rPr>
        <w:t>.</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en-GB"/>
        </w:rPr>
      </w:pPr>
      <w:r>
        <w:rPr>
          <w:rFonts w:hint="eastAsia"/>
          <w:sz w:val="20"/>
          <w:szCs w:val="20"/>
          <w:lang w:val="en-US" w:eastAsia="zh-CN"/>
        </w:rPr>
        <w:t xml:space="preserve">[1] </w:t>
      </w:r>
      <w:r>
        <w:rPr>
          <w:rFonts w:hint="eastAsia"/>
          <w:sz w:val="20"/>
          <w:szCs w:val="20"/>
          <w:lang w:val="en-US" w:eastAsia="en-GB"/>
        </w:rPr>
        <w:fldChar w:fldCharType="begin"/>
      </w:r>
      <w:r>
        <w:rPr>
          <w:rFonts w:hint="eastAsia"/>
          <w:sz w:val="20"/>
          <w:szCs w:val="20"/>
          <w:lang w:val="en-US" w:eastAsia="en-GB"/>
        </w:rPr>
        <w:instrText xml:space="preserve"> HYPERLINK "http://10.10.10.10/ftp/RAN/RAN4/Inbox/R4-2417098.zip" </w:instrText>
      </w:r>
      <w:r>
        <w:rPr>
          <w:rFonts w:hint="eastAsia"/>
          <w:sz w:val="20"/>
          <w:szCs w:val="20"/>
          <w:lang w:val="en-US" w:eastAsia="en-GB"/>
        </w:rPr>
        <w:fldChar w:fldCharType="separate"/>
      </w:r>
      <w:r>
        <w:rPr>
          <w:rFonts w:hint="eastAsia"/>
          <w:sz w:val="20"/>
          <w:szCs w:val="20"/>
          <w:lang w:val="en-US" w:eastAsia="en-GB"/>
        </w:rPr>
        <w:t>R4-2417098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HPUE RF requirements</w:t>
      </w:r>
      <w:r>
        <w:rPr>
          <w:rFonts w:hint="eastAsia"/>
          <w:sz w:val="20"/>
          <w:szCs w:val="20"/>
          <w:lang w:val="en-US" w:eastAsia="zh-CN"/>
        </w:rPr>
        <w:t xml:space="preserve">, </w:t>
      </w:r>
      <w:r>
        <w:rPr>
          <w:rFonts w:hint="eastAsia"/>
          <w:sz w:val="20"/>
          <w:szCs w:val="20"/>
          <w:lang w:val="en-US" w:eastAsia="en-GB"/>
        </w:rPr>
        <w:t>Samsung</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8DE041F"/>
    <w:multiLevelType w:val="multilevel"/>
    <w:tmpl w:val="58DE041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E5C4D0A"/>
    <w:multiLevelType w:val="multilevel"/>
    <w:tmpl w:val="5E5C4D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17CA9"/>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567E0"/>
    <w:rsid w:val="0117001C"/>
    <w:rsid w:val="011A0B49"/>
    <w:rsid w:val="0129526D"/>
    <w:rsid w:val="014A0623"/>
    <w:rsid w:val="014C6B63"/>
    <w:rsid w:val="014E4831"/>
    <w:rsid w:val="01536583"/>
    <w:rsid w:val="0170606B"/>
    <w:rsid w:val="01764F01"/>
    <w:rsid w:val="01795BD9"/>
    <w:rsid w:val="018107C9"/>
    <w:rsid w:val="01815F85"/>
    <w:rsid w:val="01837FEF"/>
    <w:rsid w:val="01854FE9"/>
    <w:rsid w:val="018E207B"/>
    <w:rsid w:val="0190283E"/>
    <w:rsid w:val="019B32C6"/>
    <w:rsid w:val="019D155B"/>
    <w:rsid w:val="01A428BB"/>
    <w:rsid w:val="01AE307F"/>
    <w:rsid w:val="01B35169"/>
    <w:rsid w:val="01BB2C67"/>
    <w:rsid w:val="01BF0B5D"/>
    <w:rsid w:val="01C00B7B"/>
    <w:rsid w:val="01D11357"/>
    <w:rsid w:val="01D46B8D"/>
    <w:rsid w:val="01D866D8"/>
    <w:rsid w:val="01EE2663"/>
    <w:rsid w:val="01F31C8D"/>
    <w:rsid w:val="01F90434"/>
    <w:rsid w:val="01FB366B"/>
    <w:rsid w:val="01FD3930"/>
    <w:rsid w:val="021B7C87"/>
    <w:rsid w:val="0221260B"/>
    <w:rsid w:val="022D4A6E"/>
    <w:rsid w:val="023B0A39"/>
    <w:rsid w:val="023C78A7"/>
    <w:rsid w:val="02444B7E"/>
    <w:rsid w:val="024A5964"/>
    <w:rsid w:val="024B023C"/>
    <w:rsid w:val="024D6B6A"/>
    <w:rsid w:val="024F6C8C"/>
    <w:rsid w:val="02504E6F"/>
    <w:rsid w:val="02510B5E"/>
    <w:rsid w:val="02566C17"/>
    <w:rsid w:val="025A362C"/>
    <w:rsid w:val="025E466E"/>
    <w:rsid w:val="02655431"/>
    <w:rsid w:val="02692E98"/>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B22D9F"/>
    <w:rsid w:val="02D16C80"/>
    <w:rsid w:val="02DC3F9C"/>
    <w:rsid w:val="02DD029C"/>
    <w:rsid w:val="02E14F55"/>
    <w:rsid w:val="02F900F0"/>
    <w:rsid w:val="03047DDD"/>
    <w:rsid w:val="03073BDC"/>
    <w:rsid w:val="03086405"/>
    <w:rsid w:val="030B0647"/>
    <w:rsid w:val="030B2860"/>
    <w:rsid w:val="030C40C1"/>
    <w:rsid w:val="030D2F0B"/>
    <w:rsid w:val="030F3B4D"/>
    <w:rsid w:val="03350E4E"/>
    <w:rsid w:val="033C68CE"/>
    <w:rsid w:val="03445E8F"/>
    <w:rsid w:val="03496C64"/>
    <w:rsid w:val="035154D3"/>
    <w:rsid w:val="03527C38"/>
    <w:rsid w:val="03557185"/>
    <w:rsid w:val="0356746F"/>
    <w:rsid w:val="03620451"/>
    <w:rsid w:val="03642E26"/>
    <w:rsid w:val="036E37C2"/>
    <w:rsid w:val="03746F87"/>
    <w:rsid w:val="03780D14"/>
    <w:rsid w:val="037828CA"/>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D1155"/>
    <w:rsid w:val="056F7FAB"/>
    <w:rsid w:val="057030A6"/>
    <w:rsid w:val="05741F0E"/>
    <w:rsid w:val="057D1D66"/>
    <w:rsid w:val="0584418A"/>
    <w:rsid w:val="058E7B70"/>
    <w:rsid w:val="059D265F"/>
    <w:rsid w:val="05B74214"/>
    <w:rsid w:val="05B92EC1"/>
    <w:rsid w:val="05C251E4"/>
    <w:rsid w:val="05C26893"/>
    <w:rsid w:val="05C868B7"/>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B741D9"/>
    <w:rsid w:val="06C457B6"/>
    <w:rsid w:val="06CD4A70"/>
    <w:rsid w:val="06DF4C13"/>
    <w:rsid w:val="06E34232"/>
    <w:rsid w:val="06E7678C"/>
    <w:rsid w:val="06F13CA3"/>
    <w:rsid w:val="06F14C51"/>
    <w:rsid w:val="06F42A88"/>
    <w:rsid w:val="06F801C0"/>
    <w:rsid w:val="070E5EE2"/>
    <w:rsid w:val="07105178"/>
    <w:rsid w:val="0712124C"/>
    <w:rsid w:val="071426A5"/>
    <w:rsid w:val="071614A3"/>
    <w:rsid w:val="071A1AB9"/>
    <w:rsid w:val="071C13A8"/>
    <w:rsid w:val="07330445"/>
    <w:rsid w:val="073D143C"/>
    <w:rsid w:val="073E1A3D"/>
    <w:rsid w:val="0747308D"/>
    <w:rsid w:val="074855FD"/>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E63FF"/>
    <w:rsid w:val="07B51934"/>
    <w:rsid w:val="07B9290D"/>
    <w:rsid w:val="07BE52B9"/>
    <w:rsid w:val="07BF7CC6"/>
    <w:rsid w:val="07C55A1A"/>
    <w:rsid w:val="07CD6CAA"/>
    <w:rsid w:val="07CE3349"/>
    <w:rsid w:val="07D26643"/>
    <w:rsid w:val="07D57946"/>
    <w:rsid w:val="07E2277C"/>
    <w:rsid w:val="07E6675C"/>
    <w:rsid w:val="07ED524D"/>
    <w:rsid w:val="07EF3E3F"/>
    <w:rsid w:val="07FC1127"/>
    <w:rsid w:val="07FF0DE5"/>
    <w:rsid w:val="080124E3"/>
    <w:rsid w:val="080B341D"/>
    <w:rsid w:val="080C7FA0"/>
    <w:rsid w:val="08120068"/>
    <w:rsid w:val="08162951"/>
    <w:rsid w:val="08193C24"/>
    <w:rsid w:val="082E1CC1"/>
    <w:rsid w:val="08341060"/>
    <w:rsid w:val="083D71D5"/>
    <w:rsid w:val="084E641F"/>
    <w:rsid w:val="085514F1"/>
    <w:rsid w:val="085A5F4A"/>
    <w:rsid w:val="08675174"/>
    <w:rsid w:val="08732D34"/>
    <w:rsid w:val="08787FF0"/>
    <w:rsid w:val="08824DF0"/>
    <w:rsid w:val="0889002B"/>
    <w:rsid w:val="089B79D9"/>
    <w:rsid w:val="08A44DA6"/>
    <w:rsid w:val="08A90C62"/>
    <w:rsid w:val="08AA245A"/>
    <w:rsid w:val="08BA6E24"/>
    <w:rsid w:val="08C024D5"/>
    <w:rsid w:val="08C562FD"/>
    <w:rsid w:val="08CA27B1"/>
    <w:rsid w:val="08D25907"/>
    <w:rsid w:val="08E916DF"/>
    <w:rsid w:val="08F3022B"/>
    <w:rsid w:val="08F473EA"/>
    <w:rsid w:val="08F815F3"/>
    <w:rsid w:val="08F96E54"/>
    <w:rsid w:val="08FC0AA5"/>
    <w:rsid w:val="090868CF"/>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D5DA0"/>
    <w:rsid w:val="098143BC"/>
    <w:rsid w:val="098500F1"/>
    <w:rsid w:val="099E4326"/>
    <w:rsid w:val="09B7610E"/>
    <w:rsid w:val="09BD407A"/>
    <w:rsid w:val="09CD7D07"/>
    <w:rsid w:val="09DA0E26"/>
    <w:rsid w:val="09E55691"/>
    <w:rsid w:val="09EA29E1"/>
    <w:rsid w:val="09EB2B51"/>
    <w:rsid w:val="09EF75D1"/>
    <w:rsid w:val="09F43460"/>
    <w:rsid w:val="09F67CD5"/>
    <w:rsid w:val="0A054821"/>
    <w:rsid w:val="0A0835C8"/>
    <w:rsid w:val="0A145721"/>
    <w:rsid w:val="0A25764B"/>
    <w:rsid w:val="0A2C297E"/>
    <w:rsid w:val="0A307C92"/>
    <w:rsid w:val="0A355EAA"/>
    <w:rsid w:val="0A3708FF"/>
    <w:rsid w:val="0A3B01F9"/>
    <w:rsid w:val="0A3F0488"/>
    <w:rsid w:val="0A402A36"/>
    <w:rsid w:val="0A4236A3"/>
    <w:rsid w:val="0A49096C"/>
    <w:rsid w:val="0A4E7EF5"/>
    <w:rsid w:val="0A646846"/>
    <w:rsid w:val="0A76304F"/>
    <w:rsid w:val="0A7C2514"/>
    <w:rsid w:val="0A80214B"/>
    <w:rsid w:val="0A8251CA"/>
    <w:rsid w:val="0A8828AB"/>
    <w:rsid w:val="0A895661"/>
    <w:rsid w:val="0A927DC1"/>
    <w:rsid w:val="0A9358E8"/>
    <w:rsid w:val="0A952FEA"/>
    <w:rsid w:val="0A9B4F7F"/>
    <w:rsid w:val="0A9C263A"/>
    <w:rsid w:val="0A9E3D3D"/>
    <w:rsid w:val="0AA077E0"/>
    <w:rsid w:val="0AA16D79"/>
    <w:rsid w:val="0AA84209"/>
    <w:rsid w:val="0ABF3E2E"/>
    <w:rsid w:val="0AC01F88"/>
    <w:rsid w:val="0AC0212C"/>
    <w:rsid w:val="0AC55D37"/>
    <w:rsid w:val="0AC81C45"/>
    <w:rsid w:val="0AD542C1"/>
    <w:rsid w:val="0ADD5A20"/>
    <w:rsid w:val="0ADF65DA"/>
    <w:rsid w:val="0AE10FD9"/>
    <w:rsid w:val="0AF13898"/>
    <w:rsid w:val="0AFB1BDE"/>
    <w:rsid w:val="0AFB3228"/>
    <w:rsid w:val="0AFC6C07"/>
    <w:rsid w:val="0B0250FD"/>
    <w:rsid w:val="0B0F025C"/>
    <w:rsid w:val="0B1A6333"/>
    <w:rsid w:val="0B2713F4"/>
    <w:rsid w:val="0B2E7CE5"/>
    <w:rsid w:val="0B3D701F"/>
    <w:rsid w:val="0B3E7DD7"/>
    <w:rsid w:val="0B481192"/>
    <w:rsid w:val="0B494066"/>
    <w:rsid w:val="0B4D4BB3"/>
    <w:rsid w:val="0B4F7F8D"/>
    <w:rsid w:val="0B561995"/>
    <w:rsid w:val="0B5C2C2A"/>
    <w:rsid w:val="0B665E0A"/>
    <w:rsid w:val="0B796FFB"/>
    <w:rsid w:val="0B847B39"/>
    <w:rsid w:val="0B902D5E"/>
    <w:rsid w:val="0B987E20"/>
    <w:rsid w:val="0B9C06D5"/>
    <w:rsid w:val="0B9E71DF"/>
    <w:rsid w:val="0BAC6FB9"/>
    <w:rsid w:val="0BAD5CC5"/>
    <w:rsid w:val="0BAD5EDC"/>
    <w:rsid w:val="0BAF59B9"/>
    <w:rsid w:val="0BB524B8"/>
    <w:rsid w:val="0BB756DF"/>
    <w:rsid w:val="0BBB6EA8"/>
    <w:rsid w:val="0BC63DB2"/>
    <w:rsid w:val="0BCB1EC4"/>
    <w:rsid w:val="0BCC4043"/>
    <w:rsid w:val="0BCC4B6A"/>
    <w:rsid w:val="0BD23AC3"/>
    <w:rsid w:val="0BDE3FD8"/>
    <w:rsid w:val="0C064507"/>
    <w:rsid w:val="0C1E494F"/>
    <w:rsid w:val="0C3427D0"/>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B94808"/>
    <w:rsid w:val="0CC11AEF"/>
    <w:rsid w:val="0CC37BC2"/>
    <w:rsid w:val="0CCB7A8E"/>
    <w:rsid w:val="0CD87ABE"/>
    <w:rsid w:val="0CD90733"/>
    <w:rsid w:val="0CE26C42"/>
    <w:rsid w:val="0CE632FF"/>
    <w:rsid w:val="0CE76B48"/>
    <w:rsid w:val="0CEB5DBE"/>
    <w:rsid w:val="0CF6484A"/>
    <w:rsid w:val="0CFB523A"/>
    <w:rsid w:val="0CFC15F0"/>
    <w:rsid w:val="0D0227BA"/>
    <w:rsid w:val="0D1B1E9C"/>
    <w:rsid w:val="0D2716E6"/>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44067"/>
    <w:rsid w:val="0DCC3AE8"/>
    <w:rsid w:val="0DD87842"/>
    <w:rsid w:val="0DE35C55"/>
    <w:rsid w:val="0DE45DFB"/>
    <w:rsid w:val="0DF202E1"/>
    <w:rsid w:val="0DF53CE3"/>
    <w:rsid w:val="0E0961C5"/>
    <w:rsid w:val="0E147898"/>
    <w:rsid w:val="0E183199"/>
    <w:rsid w:val="0E2A7688"/>
    <w:rsid w:val="0E2F216B"/>
    <w:rsid w:val="0E3352C6"/>
    <w:rsid w:val="0E3A5EE2"/>
    <w:rsid w:val="0E542F3B"/>
    <w:rsid w:val="0E6271C6"/>
    <w:rsid w:val="0E6271DF"/>
    <w:rsid w:val="0E655A78"/>
    <w:rsid w:val="0E681731"/>
    <w:rsid w:val="0E6C5EC6"/>
    <w:rsid w:val="0E7071B5"/>
    <w:rsid w:val="0E81568A"/>
    <w:rsid w:val="0E924723"/>
    <w:rsid w:val="0E942250"/>
    <w:rsid w:val="0E963344"/>
    <w:rsid w:val="0E9E6E00"/>
    <w:rsid w:val="0EA40C1C"/>
    <w:rsid w:val="0EB72E4B"/>
    <w:rsid w:val="0EB91987"/>
    <w:rsid w:val="0ED07B90"/>
    <w:rsid w:val="0EDA2BCA"/>
    <w:rsid w:val="0EDC55F1"/>
    <w:rsid w:val="0EEC6F1D"/>
    <w:rsid w:val="0EF00D65"/>
    <w:rsid w:val="0EF33893"/>
    <w:rsid w:val="0EFB6721"/>
    <w:rsid w:val="0EFF5127"/>
    <w:rsid w:val="0F054463"/>
    <w:rsid w:val="0F103291"/>
    <w:rsid w:val="0F1D498B"/>
    <w:rsid w:val="0F337178"/>
    <w:rsid w:val="0F3B15FC"/>
    <w:rsid w:val="0F41022A"/>
    <w:rsid w:val="0F44420A"/>
    <w:rsid w:val="0F4B77A5"/>
    <w:rsid w:val="0F4F1A2F"/>
    <w:rsid w:val="0F56743B"/>
    <w:rsid w:val="0F5D0D44"/>
    <w:rsid w:val="0F60682C"/>
    <w:rsid w:val="0F6763D9"/>
    <w:rsid w:val="0F6A2766"/>
    <w:rsid w:val="0F715B2B"/>
    <w:rsid w:val="0F764270"/>
    <w:rsid w:val="0F773D64"/>
    <w:rsid w:val="0F7756E1"/>
    <w:rsid w:val="0F790C96"/>
    <w:rsid w:val="0F7F273F"/>
    <w:rsid w:val="0F8418ED"/>
    <w:rsid w:val="0F957B47"/>
    <w:rsid w:val="0F98796C"/>
    <w:rsid w:val="0F9F6FA4"/>
    <w:rsid w:val="0FA65D5C"/>
    <w:rsid w:val="0FA83295"/>
    <w:rsid w:val="0FAD33DA"/>
    <w:rsid w:val="0FBE2A42"/>
    <w:rsid w:val="0FBF1587"/>
    <w:rsid w:val="0FC11FA8"/>
    <w:rsid w:val="0FC17CCE"/>
    <w:rsid w:val="0FC424B9"/>
    <w:rsid w:val="0FD70565"/>
    <w:rsid w:val="0FDF162E"/>
    <w:rsid w:val="0FEA050A"/>
    <w:rsid w:val="0FEC680C"/>
    <w:rsid w:val="0FEE2832"/>
    <w:rsid w:val="0FF83B33"/>
    <w:rsid w:val="10007AD6"/>
    <w:rsid w:val="10016174"/>
    <w:rsid w:val="100D3E09"/>
    <w:rsid w:val="101B1E8A"/>
    <w:rsid w:val="101C4A03"/>
    <w:rsid w:val="101D0C86"/>
    <w:rsid w:val="10265D4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E4593"/>
    <w:rsid w:val="10AA1B06"/>
    <w:rsid w:val="10C715C5"/>
    <w:rsid w:val="10CC72E4"/>
    <w:rsid w:val="10D335EF"/>
    <w:rsid w:val="10DA6BCD"/>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A7FFF"/>
    <w:rsid w:val="11921373"/>
    <w:rsid w:val="11945405"/>
    <w:rsid w:val="119D7849"/>
    <w:rsid w:val="11A615EE"/>
    <w:rsid w:val="11A658F4"/>
    <w:rsid w:val="11B90BA4"/>
    <w:rsid w:val="11B91A57"/>
    <w:rsid w:val="11C427F5"/>
    <w:rsid w:val="11C67B8F"/>
    <w:rsid w:val="11CA11D0"/>
    <w:rsid w:val="11CE730E"/>
    <w:rsid w:val="11D658B4"/>
    <w:rsid w:val="11D75BF2"/>
    <w:rsid w:val="11D815C4"/>
    <w:rsid w:val="11D910AD"/>
    <w:rsid w:val="11E55FA1"/>
    <w:rsid w:val="11E57D4F"/>
    <w:rsid w:val="11ED5EAE"/>
    <w:rsid w:val="11EE6703"/>
    <w:rsid w:val="11F62C9D"/>
    <w:rsid w:val="11F67383"/>
    <w:rsid w:val="11F92DAB"/>
    <w:rsid w:val="11FC38D5"/>
    <w:rsid w:val="11FE0013"/>
    <w:rsid w:val="1210682D"/>
    <w:rsid w:val="12162A85"/>
    <w:rsid w:val="121A40C0"/>
    <w:rsid w:val="121E2AC6"/>
    <w:rsid w:val="123332A6"/>
    <w:rsid w:val="12384D02"/>
    <w:rsid w:val="123A05DB"/>
    <w:rsid w:val="124240B9"/>
    <w:rsid w:val="124D0988"/>
    <w:rsid w:val="124D0CC1"/>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9D3156"/>
    <w:rsid w:val="13A9004F"/>
    <w:rsid w:val="13A938D2"/>
    <w:rsid w:val="13AA5FA1"/>
    <w:rsid w:val="13AF2BDE"/>
    <w:rsid w:val="13BB0DD4"/>
    <w:rsid w:val="13C20262"/>
    <w:rsid w:val="13CE7C74"/>
    <w:rsid w:val="13D024B3"/>
    <w:rsid w:val="13D115EF"/>
    <w:rsid w:val="13D40AF3"/>
    <w:rsid w:val="13D86A45"/>
    <w:rsid w:val="13D92D9C"/>
    <w:rsid w:val="13DD445E"/>
    <w:rsid w:val="13DE7C83"/>
    <w:rsid w:val="13F0242F"/>
    <w:rsid w:val="13F7751B"/>
    <w:rsid w:val="13FD073F"/>
    <w:rsid w:val="140171D9"/>
    <w:rsid w:val="1405674E"/>
    <w:rsid w:val="140815BB"/>
    <w:rsid w:val="14087FC1"/>
    <w:rsid w:val="14095006"/>
    <w:rsid w:val="14174089"/>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816B50"/>
    <w:rsid w:val="148313F4"/>
    <w:rsid w:val="14912D9C"/>
    <w:rsid w:val="14934F1A"/>
    <w:rsid w:val="149559C4"/>
    <w:rsid w:val="149E117F"/>
    <w:rsid w:val="14AB0B21"/>
    <w:rsid w:val="14AC0C32"/>
    <w:rsid w:val="14C45576"/>
    <w:rsid w:val="14C76D6C"/>
    <w:rsid w:val="14CB0971"/>
    <w:rsid w:val="14CB7E6E"/>
    <w:rsid w:val="14CE33C4"/>
    <w:rsid w:val="14DA3DA1"/>
    <w:rsid w:val="14E31554"/>
    <w:rsid w:val="14E60B42"/>
    <w:rsid w:val="14EA1C4D"/>
    <w:rsid w:val="150222BF"/>
    <w:rsid w:val="15075355"/>
    <w:rsid w:val="150F7C33"/>
    <w:rsid w:val="1515004B"/>
    <w:rsid w:val="151B7C99"/>
    <w:rsid w:val="15207BBA"/>
    <w:rsid w:val="152F4E1B"/>
    <w:rsid w:val="153817CF"/>
    <w:rsid w:val="15425F26"/>
    <w:rsid w:val="15436E45"/>
    <w:rsid w:val="154D342A"/>
    <w:rsid w:val="1559587F"/>
    <w:rsid w:val="155D577C"/>
    <w:rsid w:val="15655DA6"/>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5344B"/>
    <w:rsid w:val="15FB16C4"/>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36D6"/>
    <w:rsid w:val="16AD733F"/>
    <w:rsid w:val="16AE2FE3"/>
    <w:rsid w:val="16B23908"/>
    <w:rsid w:val="16B4400E"/>
    <w:rsid w:val="16B540F1"/>
    <w:rsid w:val="16C71372"/>
    <w:rsid w:val="16C739DF"/>
    <w:rsid w:val="16C86CDB"/>
    <w:rsid w:val="16D20141"/>
    <w:rsid w:val="16DD3B26"/>
    <w:rsid w:val="16EB6E00"/>
    <w:rsid w:val="16EE7649"/>
    <w:rsid w:val="16F04615"/>
    <w:rsid w:val="16F24A30"/>
    <w:rsid w:val="16F26832"/>
    <w:rsid w:val="16F55F75"/>
    <w:rsid w:val="16FD2447"/>
    <w:rsid w:val="17081A43"/>
    <w:rsid w:val="170B631B"/>
    <w:rsid w:val="1712339A"/>
    <w:rsid w:val="171B1C8E"/>
    <w:rsid w:val="171E63FC"/>
    <w:rsid w:val="172244D9"/>
    <w:rsid w:val="1722504D"/>
    <w:rsid w:val="172C2525"/>
    <w:rsid w:val="173302A7"/>
    <w:rsid w:val="1738730F"/>
    <w:rsid w:val="17407E9C"/>
    <w:rsid w:val="17416499"/>
    <w:rsid w:val="17481B81"/>
    <w:rsid w:val="17481E8B"/>
    <w:rsid w:val="174A69B0"/>
    <w:rsid w:val="1750027D"/>
    <w:rsid w:val="175007ED"/>
    <w:rsid w:val="17527092"/>
    <w:rsid w:val="17667C8E"/>
    <w:rsid w:val="176B45C6"/>
    <w:rsid w:val="176C447F"/>
    <w:rsid w:val="17830A97"/>
    <w:rsid w:val="17850F99"/>
    <w:rsid w:val="17875303"/>
    <w:rsid w:val="178815C4"/>
    <w:rsid w:val="1793626E"/>
    <w:rsid w:val="179518BE"/>
    <w:rsid w:val="17991452"/>
    <w:rsid w:val="17A875F5"/>
    <w:rsid w:val="17AB40A1"/>
    <w:rsid w:val="17AC60A9"/>
    <w:rsid w:val="17B374D2"/>
    <w:rsid w:val="17B5256D"/>
    <w:rsid w:val="17B92501"/>
    <w:rsid w:val="17CD2623"/>
    <w:rsid w:val="17D651ED"/>
    <w:rsid w:val="17E65848"/>
    <w:rsid w:val="17E66DD8"/>
    <w:rsid w:val="17E84839"/>
    <w:rsid w:val="17EE1403"/>
    <w:rsid w:val="17F25234"/>
    <w:rsid w:val="17FD061B"/>
    <w:rsid w:val="17FF6314"/>
    <w:rsid w:val="1800350F"/>
    <w:rsid w:val="18005F41"/>
    <w:rsid w:val="18025414"/>
    <w:rsid w:val="180E3727"/>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AB3604"/>
    <w:rsid w:val="18B15BA9"/>
    <w:rsid w:val="18B50543"/>
    <w:rsid w:val="18C515FC"/>
    <w:rsid w:val="18CA40C3"/>
    <w:rsid w:val="18CC73BC"/>
    <w:rsid w:val="18CD7A02"/>
    <w:rsid w:val="18E21EFF"/>
    <w:rsid w:val="18F32AFF"/>
    <w:rsid w:val="18F37652"/>
    <w:rsid w:val="19001FFC"/>
    <w:rsid w:val="190E2B4A"/>
    <w:rsid w:val="19151C58"/>
    <w:rsid w:val="1917174A"/>
    <w:rsid w:val="19256D7A"/>
    <w:rsid w:val="19292CD4"/>
    <w:rsid w:val="192C403E"/>
    <w:rsid w:val="193275C2"/>
    <w:rsid w:val="19454C70"/>
    <w:rsid w:val="194D2005"/>
    <w:rsid w:val="194D3980"/>
    <w:rsid w:val="195B59A7"/>
    <w:rsid w:val="196229FF"/>
    <w:rsid w:val="19655A52"/>
    <w:rsid w:val="19663168"/>
    <w:rsid w:val="196D1144"/>
    <w:rsid w:val="197724BD"/>
    <w:rsid w:val="19786B0A"/>
    <w:rsid w:val="19864FC3"/>
    <w:rsid w:val="198A41A1"/>
    <w:rsid w:val="199A2059"/>
    <w:rsid w:val="199B4699"/>
    <w:rsid w:val="19A40543"/>
    <w:rsid w:val="19A91329"/>
    <w:rsid w:val="19B07667"/>
    <w:rsid w:val="19B46E10"/>
    <w:rsid w:val="19C456C1"/>
    <w:rsid w:val="19C47D20"/>
    <w:rsid w:val="19C96BAE"/>
    <w:rsid w:val="19DB6A7E"/>
    <w:rsid w:val="19DF018D"/>
    <w:rsid w:val="19E65498"/>
    <w:rsid w:val="19F061A1"/>
    <w:rsid w:val="19F3324D"/>
    <w:rsid w:val="1A054259"/>
    <w:rsid w:val="1A081816"/>
    <w:rsid w:val="1A0C5680"/>
    <w:rsid w:val="1A153EDB"/>
    <w:rsid w:val="1A165171"/>
    <w:rsid w:val="1A2F1830"/>
    <w:rsid w:val="1A454F4F"/>
    <w:rsid w:val="1A4858FF"/>
    <w:rsid w:val="1A4C698A"/>
    <w:rsid w:val="1A516400"/>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449BB"/>
    <w:rsid w:val="1AE8570C"/>
    <w:rsid w:val="1AF14946"/>
    <w:rsid w:val="1AFB06A3"/>
    <w:rsid w:val="1B0F19AE"/>
    <w:rsid w:val="1B2160BB"/>
    <w:rsid w:val="1B3137EE"/>
    <w:rsid w:val="1B3637AD"/>
    <w:rsid w:val="1B3E0DB5"/>
    <w:rsid w:val="1B435D31"/>
    <w:rsid w:val="1B454C94"/>
    <w:rsid w:val="1B496377"/>
    <w:rsid w:val="1B506283"/>
    <w:rsid w:val="1B6515DA"/>
    <w:rsid w:val="1B6C0DF0"/>
    <w:rsid w:val="1B7034E2"/>
    <w:rsid w:val="1B797F1F"/>
    <w:rsid w:val="1B7F6005"/>
    <w:rsid w:val="1B862C77"/>
    <w:rsid w:val="1B94236B"/>
    <w:rsid w:val="1B9A1502"/>
    <w:rsid w:val="1B9A4A8D"/>
    <w:rsid w:val="1B9C269A"/>
    <w:rsid w:val="1B9E64C5"/>
    <w:rsid w:val="1B9E6D4C"/>
    <w:rsid w:val="1BA252C1"/>
    <w:rsid w:val="1BAF07EF"/>
    <w:rsid w:val="1BBD43BA"/>
    <w:rsid w:val="1BC01115"/>
    <w:rsid w:val="1BC44015"/>
    <w:rsid w:val="1BCA6284"/>
    <w:rsid w:val="1BE475CF"/>
    <w:rsid w:val="1BE94688"/>
    <w:rsid w:val="1BEA3348"/>
    <w:rsid w:val="1BF84071"/>
    <w:rsid w:val="1BFE5FF9"/>
    <w:rsid w:val="1C013494"/>
    <w:rsid w:val="1C053414"/>
    <w:rsid w:val="1C132CB9"/>
    <w:rsid w:val="1C1642A1"/>
    <w:rsid w:val="1C207A38"/>
    <w:rsid w:val="1C273D33"/>
    <w:rsid w:val="1C274D98"/>
    <w:rsid w:val="1C395CFF"/>
    <w:rsid w:val="1C4032AB"/>
    <w:rsid w:val="1C4672ED"/>
    <w:rsid w:val="1C467AB6"/>
    <w:rsid w:val="1C6277A9"/>
    <w:rsid w:val="1C687AA0"/>
    <w:rsid w:val="1C7B213D"/>
    <w:rsid w:val="1C7F54CE"/>
    <w:rsid w:val="1C7F743F"/>
    <w:rsid w:val="1C857158"/>
    <w:rsid w:val="1C8C4AA9"/>
    <w:rsid w:val="1C8C604B"/>
    <w:rsid w:val="1C92160B"/>
    <w:rsid w:val="1C973EEF"/>
    <w:rsid w:val="1C9E044B"/>
    <w:rsid w:val="1CA03243"/>
    <w:rsid w:val="1CAF5DB2"/>
    <w:rsid w:val="1CB00002"/>
    <w:rsid w:val="1CB40DF1"/>
    <w:rsid w:val="1CC73770"/>
    <w:rsid w:val="1CCC26CA"/>
    <w:rsid w:val="1CCF6CAF"/>
    <w:rsid w:val="1CD2156B"/>
    <w:rsid w:val="1CD41743"/>
    <w:rsid w:val="1CD44D3D"/>
    <w:rsid w:val="1CD51DA1"/>
    <w:rsid w:val="1CE45EF5"/>
    <w:rsid w:val="1CE615C9"/>
    <w:rsid w:val="1CEC7E1E"/>
    <w:rsid w:val="1D037029"/>
    <w:rsid w:val="1D051DAC"/>
    <w:rsid w:val="1D1316E8"/>
    <w:rsid w:val="1D1D7103"/>
    <w:rsid w:val="1D2B0BB4"/>
    <w:rsid w:val="1D3305FF"/>
    <w:rsid w:val="1D335FC4"/>
    <w:rsid w:val="1D395282"/>
    <w:rsid w:val="1D4251BA"/>
    <w:rsid w:val="1D465448"/>
    <w:rsid w:val="1D551881"/>
    <w:rsid w:val="1D5959E7"/>
    <w:rsid w:val="1D5F5386"/>
    <w:rsid w:val="1D7072CE"/>
    <w:rsid w:val="1D794A16"/>
    <w:rsid w:val="1D795467"/>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57CB9"/>
    <w:rsid w:val="1DE94164"/>
    <w:rsid w:val="1DEE1B11"/>
    <w:rsid w:val="1E0112F9"/>
    <w:rsid w:val="1E0B0833"/>
    <w:rsid w:val="1E146425"/>
    <w:rsid w:val="1E164B52"/>
    <w:rsid w:val="1E234B9F"/>
    <w:rsid w:val="1E273844"/>
    <w:rsid w:val="1E2F243E"/>
    <w:rsid w:val="1E377E23"/>
    <w:rsid w:val="1E3B4F6B"/>
    <w:rsid w:val="1E417896"/>
    <w:rsid w:val="1E455D19"/>
    <w:rsid w:val="1E595CAF"/>
    <w:rsid w:val="1E5B733A"/>
    <w:rsid w:val="1E5C31E8"/>
    <w:rsid w:val="1E64416A"/>
    <w:rsid w:val="1E6607F9"/>
    <w:rsid w:val="1E691070"/>
    <w:rsid w:val="1E7E6BFD"/>
    <w:rsid w:val="1E805396"/>
    <w:rsid w:val="1E884F62"/>
    <w:rsid w:val="1E9D6342"/>
    <w:rsid w:val="1E9D6D15"/>
    <w:rsid w:val="1EA77730"/>
    <w:rsid w:val="1EAF5D76"/>
    <w:rsid w:val="1EBD1EAD"/>
    <w:rsid w:val="1EC214C3"/>
    <w:rsid w:val="1EC36E9D"/>
    <w:rsid w:val="1ECA4D4D"/>
    <w:rsid w:val="1ECD6B66"/>
    <w:rsid w:val="1ED701E3"/>
    <w:rsid w:val="1EE25FDD"/>
    <w:rsid w:val="1EF5103F"/>
    <w:rsid w:val="1EFF621F"/>
    <w:rsid w:val="1F090F9B"/>
    <w:rsid w:val="1F0E2B48"/>
    <w:rsid w:val="1F0E5D6B"/>
    <w:rsid w:val="1F1921D7"/>
    <w:rsid w:val="1F335242"/>
    <w:rsid w:val="1F3E605E"/>
    <w:rsid w:val="1F3E662A"/>
    <w:rsid w:val="1F417C0A"/>
    <w:rsid w:val="1F482412"/>
    <w:rsid w:val="1F4F2219"/>
    <w:rsid w:val="1F5D2184"/>
    <w:rsid w:val="1F614D01"/>
    <w:rsid w:val="1F721405"/>
    <w:rsid w:val="1F8A2738"/>
    <w:rsid w:val="1F935819"/>
    <w:rsid w:val="1F9F1A13"/>
    <w:rsid w:val="1FA076DC"/>
    <w:rsid w:val="1FA6556D"/>
    <w:rsid w:val="1FAF2571"/>
    <w:rsid w:val="1FB7507F"/>
    <w:rsid w:val="1FC47ECF"/>
    <w:rsid w:val="1FC55EDA"/>
    <w:rsid w:val="1FC66FF1"/>
    <w:rsid w:val="1FCE593C"/>
    <w:rsid w:val="1FD175A8"/>
    <w:rsid w:val="1FD81D98"/>
    <w:rsid w:val="1FE312AC"/>
    <w:rsid w:val="1FE34925"/>
    <w:rsid w:val="1FEC5915"/>
    <w:rsid w:val="1FED32EF"/>
    <w:rsid w:val="201743BA"/>
    <w:rsid w:val="201E47E7"/>
    <w:rsid w:val="201E6D7C"/>
    <w:rsid w:val="20280BF3"/>
    <w:rsid w:val="202E2AB2"/>
    <w:rsid w:val="20355E85"/>
    <w:rsid w:val="20392DEC"/>
    <w:rsid w:val="203D340C"/>
    <w:rsid w:val="203D7ACF"/>
    <w:rsid w:val="203F0A07"/>
    <w:rsid w:val="20446081"/>
    <w:rsid w:val="204852AD"/>
    <w:rsid w:val="204E6676"/>
    <w:rsid w:val="205A5AA0"/>
    <w:rsid w:val="20677607"/>
    <w:rsid w:val="20685BC4"/>
    <w:rsid w:val="20773A28"/>
    <w:rsid w:val="20776154"/>
    <w:rsid w:val="208574F4"/>
    <w:rsid w:val="208C4449"/>
    <w:rsid w:val="208F6BAF"/>
    <w:rsid w:val="20966D8D"/>
    <w:rsid w:val="20A462BA"/>
    <w:rsid w:val="20BF2AAC"/>
    <w:rsid w:val="20C245BE"/>
    <w:rsid w:val="20C6317E"/>
    <w:rsid w:val="20C849C7"/>
    <w:rsid w:val="20C96A07"/>
    <w:rsid w:val="20D51E1A"/>
    <w:rsid w:val="20DB75CF"/>
    <w:rsid w:val="20DF66D2"/>
    <w:rsid w:val="20EC3F2E"/>
    <w:rsid w:val="20EC7C3E"/>
    <w:rsid w:val="20F16108"/>
    <w:rsid w:val="210548E9"/>
    <w:rsid w:val="21124D15"/>
    <w:rsid w:val="212A5BF7"/>
    <w:rsid w:val="213533EC"/>
    <w:rsid w:val="213E7119"/>
    <w:rsid w:val="214369E8"/>
    <w:rsid w:val="214D1729"/>
    <w:rsid w:val="21530058"/>
    <w:rsid w:val="216A2141"/>
    <w:rsid w:val="21774C7C"/>
    <w:rsid w:val="21810744"/>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D3C72"/>
    <w:rsid w:val="236F277C"/>
    <w:rsid w:val="237216BA"/>
    <w:rsid w:val="2378543C"/>
    <w:rsid w:val="23816932"/>
    <w:rsid w:val="23886A2D"/>
    <w:rsid w:val="238E2016"/>
    <w:rsid w:val="238F70F2"/>
    <w:rsid w:val="239C062C"/>
    <w:rsid w:val="23A9484E"/>
    <w:rsid w:val="23B32F98"/>
    <w:rsid w:val="23B36F54"/>
    <w:rsid w:val="23B84268"/>
    <w:rsid w:val="23C5553B"/>
    <w:rsid w:val="23C742C2"/>
    <w:rsid w:val="23D17D7B"/>
    <w:rsid w:val="23D36D91"/>
    <w:rsid w:val="23E344C7"/>
    <w:rsid w:val="23F70BA5"/>
    <w:rsid w:val="23F93D0D"/>
    <w:rsid w:val="240366A5"/>
    <w:rsid w:val="2405417E"/>
    <w:rsid w:val="240F5116"/>
    <w:rsid w:val="241B5C62"/>
    <w:rsid w:val="241C5F7B"/>
    <w:rsid w:val="24280875"/>
    <w:rsid w:val="24377DB7"/>
    <w:rsid w:val="243B745E"/>
    <w:rsid w:val="24427A08"/>
    <w:rsid w:val="24454B90"/>
    <w:rsid w:val="24572B1C"/>
    <w:rsid w:val="2458381E"/>
    <w:rsid w:val="245872F9"/>
    <w:rsid w:val="245943D9"/>
    <w:rsid w:val="245E6B64"/>
    <w:rsid w:val="2463385E"/>
    <w:rsid w:val="247C27F7"/>
    <w:rsid w:val="248B0DC8"/>
    <w:rsid w:val="24967323"/>
    <w:rsid w:val="249817D6"/>
    <w:rsid w:val="249D5FC8"/>
    <w:rsid w:val="24A1538E"/>
    <w:rsid w:val="24A83667"/>
    <w:rsid w:val="24AD67F4"/>
    <w:rsid w:val="24B9450F"/>
    <w:rsid w:val="24C83F94"/>
    <w:rsid w:val="24DE3A8A"/>
    <w:rsid w:val="24E7219B"/>
    <w:rsid w:val="24F60CDA"/>
    <w:rsid w:val="24FC5D1A"/>
    <w:rsid w:val="24FE42EB"/>
    <w:rsid w:val="24FE7E17"/>
    <w:rsid w:val="25040446"/>
    <w:rsid w:val="250D450C"/>
    <w:rsid w:val="25134332"/>
    <w:rsid w:val="25141A5B"/>
    <w:rsid w:val="2521546A"/>
    <w:rsid w:val="252242ED"/>
    <w:rsid w:val="2524677D"/>
    <w:rsid w:val="252920ED"/>
    <w:rsid w:val="252A2BA6"/>
    <w:rsid w:val="252B49E0"/>
    <w:rsid w:val="253F6469"/>
    <w:rsid w:val="25487456"/>
    <w:rsid w:val="254940F1"/>
    <w:rsid w:val="254A35DD"/>
    <w:rsid w:val="254C7F67"/>
    <w:rsid w:val="255414CA"/>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F0252"/>
    <w:rsid w:val="25D0248E"/>
    <w:rsid w:val="25D61C5C"/>
    <w:rsid w:val="25D7082F"/>
    <w:rsid w:val="25EE28A7"/>
    <w:rsid w:val="25F81D70"/>
    <w:rsid w:val="25FB5636"/>
    <w:rsid w:val="25FE58A9"/>
    <w:rsid w:val="26047AC4"/>
    <w:rsid w:val="26070462"/>
    <w:rsid w:val="260D2C45"/>
    <w:rsid w:val="26282E39"/>
    <w:rsid w:val="2628719C"/>
    <w:rsid w:val="26395C92"/>
    <w:rsid w:val="263F660E"/>
    <w:rsid w:val="26430DD2"/>
    <w:rsid w:val="26465DA0"/>
    <w:rsid w:val="26497858"/>
    <w:rsid w:val="264C485B"/>
    <w:rsid w:val="265A5249"/>
    <w:rsid w:val="266237C3"/>
    <w:rsid w:val="266749F2"/>
    <w:rsid w:val="267550B9"/>
    <w:rsid w:val="269C0A6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57B2B"/>
    <w:rsid w:val="27C8029E"/>
    <w:rsid w:val="27CC78AC"/>
    <w:rsid w:val="27D36066"/>
    <w:rsid w:val="27D72FE7"/>
    <w:rsid w:val="27D86029"/>
    <w:rsid w:val="27DC10DD"/>
    <w:rsid w:val="27DC5671"/>
    <w:rsid w:val="27DD45ED"/>
    <w:rsid w:val="27E069FC"/>
    <w:rsid w:val="27E3651B"/>
    <w:rsid w:val="27E864CC"/>
    <w:rsid w:val="27EC25E3"/>
    <w:rsid w:val="27ED0939"/>
    <w:rsid w:val="27F1498B"/>
    <w:rsid w:val="27FF3E3E"/>
    <w:rsid w:val="28027A71"/>
    <w:rsid w:val="281500D5"/>
    <w:rsid w:val="281F2BD3"/>
    <w:rsid w:val="281F4F67"/>
    <w:rsid w:val="28315056"/>
    <w:rsid w:val="283744B4"/>
    <w:rsid w:val="284029D8"/>
    <w:rsid w:val="28423E20"/>
    <w:rsid w:val="2843297C"/>
    <w:rsid w:val="28485D62"/>
    <w:rsid w:val="284B1E95"/>
    <w:rsid w:val="285560D7"/>
    <w:rsid w:val="285B737A"/>
    <w:rsid w:val="28683649"/>
    <w:rsid w:val="28696098"/>
    <w:rsid w:val="286E74F1"/>
    <w:rsid w:val="28760CA0"/>
    <w:rsid w:val="28796ED0"/>
    <w:rsid w:val="287B218C"/>
    <w:rsid w:val="288A05DD"/>
    <w:rsid w:val="28937D89"/>
    <w:rsid w:val="289B0550"/>
    <w:rsid w:val="28BE71CB"/>
    <w:rsid w:val="28C96C14"/>
    <w:rsid w:val="28CA7CD7"/>
    <w:rsid w:val="28CD627E"/>
    <w:rsid w:val="28D04F68"/>
    <w:rsid w:val="28E138E3"/>
    <w:rsid w:val="28E74216"/>
    <w:rsid w:val="28E87EE4"/>
    <w:rsid w:val="2903396A"/>
    <w:rsid w:val="29087976"/>
    <w:rsid w:val="290B654D"/>
    <w:rsid w:val="29124309"/>
    <w:rsid w:val="2921752E"/>
    <w:rsid w:val="294E766A"/>
    <w:rsid w:val="29513848"/>
    <w:rsid w:val="296B203C"/>
    <w:rsid w:val="297161D3"/>
    <w:rsid w:val="297510B4"/>
    <w:rsid w:val="2978319A"/>
    <w:rsid w:val="29886D49"/>
    <w:rsid w:val="29897A2F"/>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E15A2"/>
    <w:rsid w:val="29EC475A"/>
    <w:rsid w:val="29EF3680"/>
    <w:rsid w:val="29EF424E"/>
    <w:rsid w:val="29F45503"/>
    <w:rsid w:val="29FA7F26"/>
    <w:rsid w:val="2A074402"/>
    <w:rsid w:val="2A0A1918"/>
    <w:rsid w:val="2A144016"/>
    <w:rsid w:val="2A166823"/>
    <w:rsid w:val="2A191A5A"/>
    <w:rsid w:val="2A2E6F54"/>
    <w:rsid w:val="2A35650F"/>
    <w:rsid w:val="2A405845"/>
    <w:rsid w:val="2A45641B"/>
    <w:rsid w:val="2A496A6F"/>
    <w:rsid w:val="2A4C39E2"/>
    <w:rsid w:val="2A4D593F"/>
    <w:rsid w:val="2A58319D"/>
    <w:rsid w:val="2A5C6B8D"/>
    <w:rsid w:val="2A6A6FA4"/>
    <w:rsid w:val="2A6E31F8"/>
    <w:rsid w:val="2A704730"/>
    <w:rsid w:val="2A836D08"/>
    <w:rsid w:val="2A87174E"/>
    <w:rsid w:val="2A8A2F9C"/>
    <w:rsid w:val="2AAC5A06"/>
    <w:rsid w:val="2ABB3D6F"/>
    <w:rsid w:val="2AC25434"/>
    <w:rsid w:val="2AC70B30"/>
    <w:rsid w:val="2ACC2AAF"/>
    <w:rsid w:val="2AD56653"/>
    <w:rsid w:val="2AD74744"/>
    <w:rsid w:val="2AD91AC2"/>
    <w:rsid w:val="2AE17EE7"/>
    <w:rsid w:val="2AE57C95"/>
    <w:rsid w:val="2AEA2D75"/>
    <w:rsid w:val="2AF35C8B"/>
    <w:rsid w:val="2AFA03A2"/>
    <w:rsid w:val="2B0B578B"/>
    <w:rsid w:val="2B0C0EEE"/>
    <w:rsid w:val="2B132265"/>
    <w:rsid w:val="2B214776"/>
    <w:rsid w:val="2B2843BE"/>
    <w:rsid w:val="2B306227"/>
    <w:rsid w:val="2B313FC1"/>
    <w:rsid w:val="2B347C14"/>
    <w:rsid w:val="2B39348E"/>
    <w:rsid w:val="2B437285"/>
    <w:rsid w:val="2B494377"/>
    <w:rsid w:val="2B4B30FC"/>
    <w:rsid w:val="2B4D5018"/>
    <w:rsid w:val="2B4D695C"/>
    <w:rsid w:val="2B514803"/>
    <w:rsid w:val="2B5E14FB"/>
    <w:rsid w:val="2B637D4B"/>
    <w:rsid w:val="2B674B1E"/>
    <w:rsid w:val="2B6B1684"/>
    <w:rsid w:val="2B7B70BF"/>
    <w:rsid w:val="2B7E23C3"/>
    <w:rsid w:val="2B853AF3"/>
    <w:rsid w:val="2B8B422C"/>
    <w:rsid w:val="2BA07D38"/>
    <w:rsid w:val="2BC40957"/>
    <w:rsid w:val="2BC936F8"/>
    <w:rsid w:val="2BCB5DAA"/>
    <w:rsid w:val="2BD32CF3"/>
    <w:rsid w:val="2BD65380"/>
    <w:rsid w:val="2BE65E96"/>
    <w:rsid w:val="2BE725D0"/>
    <w:rsid w:val="2BE838DD"/>
    <w:rsid w:val="2BF369B9"/>
    <w:rsid w:val="2BFC0A4A"/>
    <w:rsid w:val="2C094904"/>
    <w:rsid w:val="2C0E55A1"/>
    <w:rsid w:val="2C1C1B17"/>
    <w:rsid w:val="2C210873"/>
    <w:rsid w:val="2C3A7BF6"/>
    <w:rsid w:val="2C425BCE"/>
    <w:rsid w:val="2C44676A"/>
    <w:rsid w:val="2C485295"/>
    <w:rsid w:val="2C495C38"/>
    <w:rsid w:val="2C4A080C"/>
    <w:rsid w:val="2C54533B"/>
    <w:rsid w:val="2C591378"/>
    <w:rsid w:val="2C677A31"/>
    <w:rsid w:val="2C770676"/>
    <w:rsid w:val="2C797A76"/>
    <w:rsid w:val="2C8F4862"/>
    <w:rsid w:val="2C9E5AC8"/>
    <w:rsid w:val="2CA2721B"/>
    <w:rsid w:val="2CAC6D87"/>
    <w:rsid w:val="2CB600FC"/>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3122"/>
    <w:rsid w:val="2D987372"/>
    <w:rsid w:val="2D9B18FB"/>
    <w:rsid w:val="2DA23D5C"/>
    <w:rsid w:val="2DB872E3"/>
    <w:rsid w:val="2DC66A91"/>
    <w:rsid w:val="2DC92AA1"/>
    <w:rsid w:val="2DCE5F69"/>
    <w:rsid w:val="2DDD4F0A"/>
    <w:rsid w:val="2E063012"/>
    <w:rsid w:val="2E1F0CF7"/>
    <w:rsid w:val="2E3118D8"/>
    <w:rsid w:val="2E34792A"/>
    <w:rsid w:val="2E437E73"/>
    <w:rsid w:val="2E5034DC"/>
    <w:rsid w:val="2E572AB9"/>
    <w:rsid w:val="2E7057C3"/>
    <w:rsid w:val="2E7258DC"/>
    <w:rsid w:val="2E754CBB"/>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CC549E"/>
    <w:rsid w:val="2ED53442"/>
    <w:rsid w:val="2EDD7896"/>
    <w:rsid w:val="2EEA6E65"/>
    <w:rsid w:val="2EF31F38"/>
    <w:rsid w:val="2EF33C7C"/>
    <w:rsid w:val="2EF66AA8"/>
    <w:rsid w:val="2F00052B"/>
    <w:rsid w:val="2F0367CD"/>
    <w:rsid w:val="2F0B683E"/>
    <w:rsid w:val="2F1251F2"/>
    <w:rsid w:val="2F1B08DB"/>
    <w:rsid w:val="2F2D445E"/>
    <w:rsid w:val="2F4F6FBB"/>
    <w:rsid w:val="2F664E2B"/>
    <w:rsid w:val="2F6C7BE3"/>
    <w:rsid w:val="2F6E3A80"/>
    <w:rsid w:val="2F715580"/>
    <w:rsid w:val="2F783485"/>
    <w:rsid w:val="2F7F5C0B"/>
    <w:rsid w:val="2FA6492D"/>
    <w:rsid w:val="2FC86676"/>
    <w:rsid w:val="2FCE35FC"/>
    <w:rsid w:val="2FD150ED"/>
    <w:rsid w:val="2FD17A1B"/>
    <w:rsid w:val="2FD71CA4"/>
    <w:rsid w:val="2FDA1416"/>
    <w:rsid w:val="2FDC4A8D"/>
    <w:rsid w:val="2FDE43D5"/>
    <w:rsid w:val="2FEE50B1"/>
    <w:rsid w:val="2FF93066"/>
    <w:rsid w:val="300D4197"/>
    <w:rsid w:val="301A71CE"/>
    <w:rsid w:val="301C3E88"/>
    <w:rsid w:val="301E049B"/>
    <w:rsid w:val="302A4BE6"/>
    <w:rsid w:val="303C7735"/>
    <w:rsid w:val="304117E8"/>
    <w:rsid w:val="304478EC"/>
    <w:rsid w:val="30515C8E"/>
    <w:rsid w:val="30517245"/>
    <w:rsid w:val="305F776C"/>
    <w:rsid w:val="306C64E5"/>
    <w:rsid w:val="3091013E"/>
    <w:rsid w:val="30926F91"/>
    <w:rsid w:val="309440A1"/>
    <w:rsid w:val="30962F3E"/>
    <w:rsid w:val="30AA2585"/>
    <w:rsid w:val="30B03DC4"/>
    <w:rsid w:val="30C16A19"/>
    <w:rsid w:val="30CB5800"/>
    <w:rsid w:val="30D32236"/>
    <w:rsid w:val="30ED0AB9"/>
    <w:rsid w:val="30F92FE5"/>
    <w:rsid w:val="30FA7530"/>
    <w:rsid w:val="30FF2795"/>
    <w:rsid w:val="310225AA"/>
    <w:rsid w:val="310375CD"/>
    <w:rsid w:val="310B0487"/>
    <w:rsid w:val="310E6387"/>
    <w:rsid w:val="311611B3"/>
    <w:rsid w:val="311A6C35"/>
    <w:rsid w:val="31333AA3"/>
    <w:rsid w:val="313C313D"/>
    <w:rsid w:val="313F6DC6"/>
    <w:rsid w:val="314E236F"/>
    <w:rsid w:val="31576CC8"/>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18F2"/>
    <w:rsid w:val="31C819E4"/>
    <w:rsid w:val="31C916F7"/>
    <w:rsid w:val="31D20051"/>
    <w:rsid w:val="31D54649"/>
    <w:rsid w:val="31E806EF"/>
    <w:rsid w:val="31EF7EE8"/>
    <w:rsid w:val="31FF1FAB"/>
    <w:rsid w:val="3201404F"/>
    <w:rsid w:val="320901F5"/>
    <w:rsid w:val="320B7CCB"/>
    <w:rsid w:val="320F12CA"/>
    <w:rsid w:val="32105DE8"/>
    <w:rsid w:val="32163AC8"/>
    <w:rsid w:val="3235187E"/>
    <w:rsid w:val="3237186B"/>
    <w:rsid w:val="323B6798"/>
    <w:rsid w:val="32470AEB"/>
    <w:rsid w:val="32537B57"/>
    <w:rsid w:val="325779E7"/>
    <w:rsid w:val="325B1D9C"/>
    <w:rsid w:val="325F618E"/>
    <w:rsid w:val="32724A5B"/>
    <w:rsid w:val="32757E99"/>
    <w:rsid w:val="32770A74"/>
    <w:rsid w:val="327D43E5"/>
    <w:rsid w:val="328F5534"/>
    <w:rsid w:val="329A6ACE"/>
    <w:rsid w:val="32A145CA"/>
    <w:rsid w:val="32A230DB"/>
    <w:rsid w:val="32BB0394"/>
    <w:rsid w:val="32CE7F7A"/>
    <w:rsid w:val="32DF351E"/>
    <w:rsid w:val="32EE5E41"/>
    <w:rsid w:val="32F40F87"/>
    <w:rsid w:val="32F549ED"/>
    <w:rsid w:val="32FD7C76"/>
    <w:rsid w:val="330C22FC"/>
    <w:rsid w:val="33277E81"/>
    <w:rsid w:val="33304A5C"/>
    <w:rsid w:val="33404DED"/>
    <w:rsid w:val="334B2535"/>
    <w:rsid w:val="33540E5D"/>
    <w:rsid w:val="33551BDE"/>
    <w:rsid w:val="33575633"/>
    <w:rsid w:val="33587D60"/>
    <w:rsid w:val="335A0521"/>
    <w:rsid w:val="335E7B11"/>
    <w:rsid w:val="336032E8"/>
    <w:rsid w:val="3364318B"/>
    <w:rsid w:val="33691888"/>
    <w:rsid w:val="336A499A"/>
    <w:rsid w:val="336F3D1A"/>
    <w:rsid w:val="33714830"/>
    <w:rsid w:val="33737F51"/>
    <w:rsid w:val="33764F61"/>
    <w:rsid w:val="337964FF"/>
    <w:rsid w:val="337D34FB"/>
    <w:rsid w:val="337E2DAF"/>
    <w:rsid w:val="33953C2E"/>
    <w:rsid w:val="339D6884"/>
    <w:rsid w:val="33A47053"/>
    <w:rsid w:val="33A5256D"/>
    <w:rsid w:val="33BF4199"/>
    <w:rsid w:val="33C259F7"/>
    <w:rsid w:val="33C47354"/>
    <w:rsid w:val="33CD6498"/>
    <w:rsid w:val="33D52499"/>
    <w:rsid w:val="33D7554F"/>
    <w:rsid w:val="33ED2B2C"/>
    <w:rsid w:val="33FB4AD5"/>
    <w:rsid w:val="33FE62E7"/>
    <w:rsid w:val="34080399"/>
    <w:rsid w:val="340D25F6"/>
    <w:rsid w:val="341E0A7E"/>
    <w:rsid w:val="34216BA7"/>
    <w:rsid w:val="3429226D"/>
    <w:rsid w:val="342B76C7"/>
    <w:rsid w:val="34341A95"/>
    <w:rsid w:val="343A1527"/>
    <w:rsid w:val="34447898"/>
    <w:rsid w:val="344E62FA"/>
    <w:rsid w:val="34711E4F"/>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D3BA4"/>
    <w:rsid w:val="350B42D5"/>
    <w:rsid w:val="350F6258"/>
    <w:rsid w:val="351A603C"/>
    <w:rsid w:val="352821F6"/>
    <w:rsid w:val="353348DC"/>
    <w:rsid w:val="3533698A"/>
    <w:rsid w:val="35387F19"/>
    <w:rsid w:val="3539550B"/>
    <w:rsid w:val="35533061"/>
    <w:rsid w:val="35553BD3"/>
    <w:rsid w:val="356678B4"/>
    <w:rsid w:val="356F0F35"/>
    <w:rsid w:val="3573649F"/>
    <w:rsid w:val="357E4B0A"/>
    <w:rsid w:val="35807F17"/>
    <w:rsid w:val="35866D7F"/>
    <w:rsid w:val="35897ADA"/>
    <w:rsid w:val="358F6BDF"/>
    <w:rsid w:val="35C06D50"/>
    <w:rsid w:val="35CA3D9E"/>
    <w:rsid w:val="35CD6F14"/>
    <w:rsid w:val="35D24294"/>
    <w:rsid w:val="35D71152"/>
    <w:rsid w:val="35D963E6"/>
    <w:rsid w:val="35DC736B"/>
    <w:rsid w:val="35ED4C4F"/>
    <w:rsid w:val="35F13CA9"/>
    <w:rsid w:val="35F23B39"/>
    <w:rsid w:val="35FF6F3C"/>
    <w:rsid w:val="36075F27"/>
    <w:rsid w:val="36121506"/>
    <w:rsid w:val="361A62E3"/>
    <w:rsid w:val="361D621A"/>
    <w:rsid w:val="361D7A43"/>
    <w:rsid w:val="361F3323"/>
    <w:rsid w:val="363B4A32"/>
    <w:rsid w:val="36402EFA"/>
    <w:rsid w:val="36496A51"/>
    <w:rsid w:val="365623F6"/>
    <w:rsid w:val="36816994"/>
    <w:rsid w:val="36820DFD"/>
    <w:rsid w:val="368230C6"/>
    <w:rsid w:val="36831B61"/>
    <w:rsid w:val="36843A03"/>
    <w:rsid w:val="368E7248"/>
    <w:rsid w:val="368F7E4F"/>
    <w:rsid w:val="36985297"/>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202311"/>
    <w:rsid w:val="37226558"/>
    <w:rsid w:val="3734159D"/>
    <w:rsid w:val="37382526"/>
    <w:rsid w:val="373B4C89"/>
    <w:rsid w:val="373F4A34"/>
    <w:rsid w:val="37503E6C"/>
    <w:rsid w:val="375800EF"/>
    <w:rsid w:val="3758590A"/>
    <w:rsid w:val="375E77B2"/>
    <w:rsid w:val="37602E60"/>
    <w:rsid w:val="378229A7"/>
    <w:rsid w:val="3784394E"/>
    <w:rsid w:val="37856510"/>
    <w:rsid w:val="37873940"/>
    <w:rsid w:val="37944D89"/>
    <w:rsid w:val="379850C2"/>
    <w:rsid w:val="37987437"/>
    <w:rsid w:val="379F33FC"/>
    <w:rsid w:val="37A432E4"/>
    <w:rsid w:val="37A86196"/>
    <w:rsid w:val="37B173A7"/>
    <w:rsid w:val="37C94031"/>
    <w:rsid w:val="37CA042E"/>
    <w:rsid w:val="37D44549"/>
    <w:rsid w:val="37D77B09"/>
    <w:rsid w:val="37D97EDE"/>
    <w:rsid w:val="37DF2F93"/>
    <w:rsid w:val="37E76E34"/>
    <w:rsid w:val="37FE02EA"/>
    <w:rsid w:val="380D02B1"/>
    <w:rsid w:val="380F1889"/>
    <w:rsid w:val="38137C9C"/>
    <w:rsid w:val="381F4DE1"/>
    <w:rsid w:val="382B1BDF"/>
    <w:rsid w:val="382E392C"/>
    <w:rsid w:val="38342E90"/>
    <w:rsid w:val="384B7332"/>
    <w:rsid w:val="385056AF"/>
    <w:rsid w:val="38505C1D"/>
    <w:rsid w:val="38571C7D"/>
    <w:rsid w:val="38593C76"/>
    <w:rsid w:val="386A7142"/>
    <w:rsid w:val="38706DCB"/>
    <w:rsid w:val="38784056"/>
    <w:rsid w:val="38885FCC"/>
    <w:rsid w:val="388E5848"/>
    <w:rsid w:val="3896426D"/>
    <w:rsid w:val="38A058F5"/>
    <w:rsid w:val="38A341A7"/>
    <w:rsid w:val="38A75C0A"/>
    <w:rsid w:val="38A80783"/>
    <w:rsid w:val="38B624DA"/>
    <w:rsid w:val="38BD31EE"/>
    <w:rsid w:val="38CB3BDF"/>
    <w:rsid w:val="38D33D29"/>
    <w:rsid w:val="38D41CCF"/>
    <w:rsid w:val="38D808BC"/>
    <w:rsid w:val="38E40A5B"/>
    <w:rsid w:val="38F16A28"/>
    <w:rsid w:val="38FA10A5"/>
    <w:rsid w:val="390A2E6E"/>
    <w:rsid w:val="390E7299"/>
    <w:rsid w:val="391A1130"/>
    <w:rsid w:val="391A3359"/>
    <w:rsid w:val="39243950"/>
    <w:rsid w:val="39285D57"/>
    <w:rsid w:val="39305263"/>
    <w:rsid w:val="394303B9"/>
    <w:rsid w:val="394B6470"/>
    <w:rsid w:val="395B1104"/>
    <w:rsid w:val="395C6EA8"/>
    <w:rsid w:val="39660A83"/>
    <w:rsid w:val="39747EC7"/>
    <w:rsid w:val="39752A0F"/>
    <w:rsid w:val="39872512"/>
    <w:rsid w:val="39A602F9"/>
    <w:rsid w:val="39BD45C8"/>
    <w:rsid w:val="39C2316A"/>
    <w:rsid w:val="39D733F3"/>
    <w:rsid w:val="39D87563"/>
    <w:rsid w:val="39E8110F"/>
    <w:rsid w:val="39F36281"/>
    <w:rsid w:val="39F81192"/>
    <w:rsid w:val="39FD376D"/>
    <w:rsid w:val="39FD6C9C"/>
    <w:rsid w:val="3A0224B9"/>
    <w:rsid w:val="3A16728B"/>
    <w:rsid w:val="3A16794C"/>
    <w:rsid w:val="3A1F6809"/>
    <w:rsid w:val="3A226969"/>
    <w:rsid w:val="3A286675"/>
    <w:rsid w:val="3A3F47CE"/>
    <w:rsid w:val="3A4E1C5D"/>
    <w:rsid w:val="3A4E41E0"/>
    <w:rsid w:val="3A523735"/>
    <w:rsid w:val="3A557AE4"/>
    <w:rsid w:val="3A5F0BE3"/>
    <w:rsid w:val="3A613D40"/>
    <w:rsid w:val="3A6B0F84"/>
    <w:rsid w:val="3A727435"/>
    <w:rsid w:val="3A813EA6"/>
    <w:rsid w:val="3A82130D"/>
    <w:rsid w:val="3A94055A"/>
    <w:rsid w:val="3AB00167"/>
    <w:rsid w:val="3ABC496A"/>
    <w:rsid w:val="3AC17E3A"/>
    <w:rsid w:val="3AC4083B"/>
    <w:rsid w:val="3ACB5746"/>
    <w:rsid w:val="3ACD76A7"/>
    <w:rsid w:val="3ACE209E"/>
    <w:rsid w:val="3ACF1A69"/>
    <w:rsid w:val="3ACF294F"/>
    <w:rsid w:val="3AD14283"/>
    <w:rsid w:val="3ADD2B05"/>
    <w:rsid w:val="3AE417E3"/>
    <w:rsid w:val="3AE440AF"/>
    <w:rsid w:val="3AEE0E24"/>
    <w:rsid w:val="3AF7667E"/>
    <w:rsid w:val="3B100AE6"/>
    <w:rsid w:val="3B113F51"/>
    <w:rsid w:val="3B192990"/>
    <w:rsid w:val="3B1E43B3"/>
    <w:rsid w:val="3B253D7E"/>
    <w:rsid w:val="3B2965F0"/>
    <w:rsid w:val="3B2D3716"/>
    <w:rsid w:val="3B307112"/>
    <w:rsid w:val="3B354011"/>
    <w:rsid w:val="3B386133"/>
    <w:rsid w:val="3B3939FB"/>
    <w:rsid w:val="3B3E5BDD"/>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F07E0"/>
    <w:rsid w:val="3BA03B83"/>
    <w:rsid w:val="3BA34296"/>
    <w:rsid w:val="3BB20883"/>
    <w:rsid w:val="3BC05BA8"/>
    <w:rsid w:val="3BC34E75"/>
    <w:rsid w:val="3BCB270F"/>
    <w:rsid w:val="3BD96AA6"/>
    <w:rsid w:val="3BDB182F"/>
    <w:rsid w:val="3BED002E"/>
    <w:rsid w:val="3C012D01"/>
    <w:rsid w:val="3C0429BF"/>
    <w:rsid w:val="3C1A201A"/>
    <w:rsid w:val="3C204D27"/>
    <w:rsid w:val="3C276807"/>
    <w:rsid w:val="3C371D4B"/>
    <w:rsid w:val="3C3865F6"/>
    <w:rsid w:val="3C3B4B9D"/>
    <w:rsid w:val="3C3E4F02"/>
    <w:rsid w:val="3C413C82"/>
    <w:rsid w:val="3C471C36"/>
    <w:rsid w:val="3C4B0140"/>
    <w:rsid w:val="3C4D66ED"/>
    <w:rsid w:val="3C5A1883"/>
    <w:rsid w:val="3C5A6B66"/>
    <w:rsid w:val="3C687D45"/>
    <w:rsid w:val="3C734413"/>
    <w:rsid w:val="3C7537FA"/>
    <w:rsid w:val="3C770992"/>
    <w:rsid w:val="3C8620A7"/>
    <w:rsid w:val="3C8F4440"/>
    <w:rsid w:val="3C982C18"/>
    <w:rsid w:val="3C9C64EF"/>
    <w:rsid w:val="3CA734F8"/>
    <w:rsid w:val="3CA95F71"/>
    <w:rsid w:val="3CAD771B"/>
    <w:rsid w:val="3CC16893"/>
    <w:rsid w:val="3CC74223"/>
    <w:rsid w:val="3CC828D0"/>
    <w:rsid w:val="3CD50970"/>
    <w:rsid w:val="3CDB5F96"/>
    <w:rsid w:val="3CE23F49"/>
    <w:rsid w:val="3CE34050"/>
    <w:rsid w:val="3CE47078"/>
    <w:rsid w:val="3CE74670"/>
    <w:rsid w:val="3CEC39B8"/>
    <w:rsid w:val="3CF720E3"/>
    <w:rsid w:val="3CF72D6A"/>
    <w:rsid w:val="3CF86D06"/>
    <w:rsid w:val="3D00620E"/>
    <w:rsid w:val="3D011321"/>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B50DF4"/>
    <w:rsid w:val="3DCF7004"/>
    <w:rsid w:val="3DDA4B31"/>
    <w:rsid w:val="3DDB67AE"/>
    <w:rsid w:val="3DE90C78"/>
    <w:rsid w:val="3DED0F96"/>
    <w:rsid w:val="3DF95812"/>
    <w:rsid w:val="3DFD28B5"/>
    <w:rsid w:val="3E1B3AAC"/>
    <w:rsid w:val="3E1D4B24"/>
    <w:rsid w:val="3E2B1325"/>
    <w:rsid w:val="3E374A6D"/>
    <w:rsid w:val="3E3A04FA"/>
    <w:rsid w:val="3E3B1403"/>
    <w:rsid w:val="3E3D6B96"/>
    <w:rsid w:val="3E441C7D"/>
    <w:rsid w:val="3E490256"/>
    <w:rsid w:val="3E4C47D8"/>
    <w:rsid w:val="3E4E163C"/>
    <w:rsid w:val="3E4E3E8B"/>
    <w:rsid w:val="3E55739E"/>
    <w:rsid w:val="3E557A55"/>
    <w:rsid w:val="3E563D59"/>
    <w:rsid w:val="3E5A3EDC"/>
    <w:rsid w:val="3E5E28E2"/>
    <w:rsid w:val="3E6C43C8"/>
    <w:rsid w:val="3E8227F0"/>
    <w:rsid w:val="3E8316FA"/>
    <w:rsid w:val="3E900915"/>
    <w:rsid w:val="3E9055C8"/>
    <w:rsid w:val="3E937F82"/>
    <w:rsid w:val="3E9A1443"/>
    <w:rsid w:val="3E9B4B40"/>
    <w:rsid w:val="3EB709F3"/>
    <w:rsid w:val="3EB71AC8"/>
    <w:rsid w:val="3EB93EF6"/>
    <w:rsid w:val="3EC71336"/>
    <w:rsid w:val="3EC85E34"/>
    <w:rsid w:val="3ECD2EE4"/>
    <w:rsid w:val="3ECF2AAC"/>
    <w:rsid w:val="3ED0424C"/>
    <w:rsid w:val="3ED07B7E"/>
    <w:rsid w:val="3ED16FB1"/>
    <w:rsid w:val="3EDA522E"/>
    <w:rsid w:val="3EE63AC0"/>
    <w:rsid w:val="3EEB4E5A"/>
    <w:rsid w:val="3EF31E7F"/>
    <w:rsid w:val="3EF36DF0"/>
    <w:rsid w:val="3EFB0134"/>
    <w:rsid w:val="3F0110D6"/>
    <w:rsid w:val="3F035EE1"/>
    <w:rsid w:val="3F053EF6"/>
    <w:rsid w:val="3F093188"/>
    <w:rsid w:val="3F173F6B"/>
    <w:rsid w:val="3F1E1DE8"/>
    <w:rsid w:val="3F253B0C"/>
    <w:rsid w:val="3F2C04C4"/>
    <w:rsid w:val="3F374FF9"/>
    <w:rsid w:val="3F3E7C9F"/>
    <w:rsid w:val="3F416B99"/>
    <w:rsid w:val="3F4F5AD7"/>
    <w:rsid w:val="3F5E304E"/>
    <w:rsid w:val="3F643908"/>
    <w:rsid w:val="3F6B75A6"/>
    <w:rsid w:val="3F6C393F"/>
    <w:rsid w:val="3F791334"/>
    <w:rsid w:val="3F8C0A49"/>
    <w:rsid w:val="3F8E7DCD"/>
    <w:rsid w:val="3F913853"/>
    <w:rsid w:val="3F9660C3"/>
    <w:rsid w:val="3F9724DD"/>
    <w:rsid w:val="3FA827ED"/>
    <w:rsid w:val="3FB45C58"/>
    <w:rsid w:val="3FB97AA8"/>
    <w:rsid w:val="3FC36557"/>
    <w:rsid w:val="3FC956FF"/>
    <w:rsid w:val="3FCA4020"/>
    <w:rsid w:val="3FD13F50"/>
    <w:rsid w:val="3FD858EB"/>
    <w:rsid w:val="3FDC5F31"/>
    <w:rsid w:val="3FE04625"/>
    <w:rsid w:val="3FE86CE8"/>
    <w:rsid w:val="3FF82684"/>
    <w:rsid w:val="3FFB0F66"/>
    <w:rsid w:val="40146E6B"/>
    <w:rsid w:val="402C6E5E"/>
    <w:rsid w:val="402D4C90"/>
    <w:rsid w:val="403052F1"/>
    <w:rsid w:val="40321098"/>
    <w:rsid w:val="40330D29"/>
    <w:rsid w:val="40341B69"/>
    <w:rsid w:val="404469FD"/>
    <w:rsid w:val="404638CD"/>
    <w:rsid w:val="404A2717"/>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1096BC0"/>
    <w:rsid w:val="410A75B6"/>
    <w:rsid w:val="410B452A"/>
    <w:rsid w:val="411251DD"/>
    <w:rsid w:val="41146D26"/>
    <w:rsid w:val="411D1161"/>
    <w:rsid w:val="41334FB7"/>
    <w:rsid w:val="413353F1"/>
    <w:rsid w:val="4137558E"/>
    <w:rsid w:val="4146047F"/>
    <w:rsid w:val="41513BC9"/>
    <w:rsid w:val="416B4DCF"/>
    <w:rsid w:val="41735B7F"/>
    <w:rsid w:val="41810E86"/>
    <w:rsid w:val="41850830"/>
    <w:rsid w:val="4185372F"/>
    <w:rsid w:val="41955E4B"/>
    <w:rsid w:val="419658B5"/>
    <w:rsid w:val="419868AD"/>
    <w:rsid w:val="419E60D3"/>
    <w:rsid w:val="41A339F5"/>
    <w:rsid w:val="41A36C7E"/>
    <w:rsid w:val="41A40141"/>
    <w:rsid w:val="41B928D7"/>
    <w:rsid w:val="41BA3A2C"/>
    <w:rsid w:val="41BB3AE7"/>
    <w:rsid w:val="41C93F6C"/>
    <w:rsid w:val="41D540E6"/>
    <w:rsid w:val="41D71584"/>
    <w:rsid w:val="41D75714"/>
    <w:rsid w:val="41DD3BC3"/>
    <w:rsid w:val="41DE47A6"/>
    <w:rsid w:val="41E0049A"/>
    <w:rsid w:val="41E94833"/>
    <w:rsid w:val="41E974A1"/>
    <w:rsid w:val="41EE2F03"/>
    <w:rsid w:val="41F466FD"/>
    <w:rsid w:val="41F62234"/>
    <w:rsid w:val="42002BC7"/>
    <w:rsid w:val="42026B03"/>
    <w:rsid w:val="420D197F"/>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2007D"/>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9D20AF"/>
    <w:rsid w:val="43AF2533"/>
    <w:rsid w:val="43AF2D32"/>
    <w:rsid w:val="43B45922"/>
    <w:rsid w:val="43B7275B"/>
    <w:rsid w:val="43B76E4F"/>
    <w:rsid w:val="43CF0206"/>
    <w:rsid w:val="43D85D6D"/>
    <w:rsid w:val="43E32604"/>
    <w:rsid w:val="43EC6F1F"/>
    <w:rsid w:val="43F655BC"/>
    <w:rsid w:val="43FA2813"/>
    <w:rsid w:val="43FE44BA"/>
    <w:rsid w:val="440D5045"/>
    <w:rsid w:val="440F6C97"/>
    <w:rsid w:val="44300615"/>
    <w:rsid w:val="44371929"/>
    <w:rsid w:val="443740AF"/>
    <w:rsid w:val="443C61BB"/>
    <w:rsid w:val="44480935"/>
    <w:rsid w:val="444851FA"/>
    <w:rsid w:val="445873A3"/>
    <w:rsid w:val="445E4DEE"/>
    <w:rsid w:val="44640994"/>
    <w:rsid w:val="446B0434"/>
    <w:rsid w:val="44756A66"/>
    <w:rsid w:val="447A208F"/>
    <w:rsid w:val="447E4EBE"/>
    <w:rsid w:val="447F0CBA"/>
    <w:rsid w:val="448226F3"/>
    <w:rsid w:val="4490658A"/>
    <w:rsid w:val="44957F46"/>
    <w:rsid w:val="44994CF5"/>
    <w:rsid w:val="449F21F7"/>
    <w:rsid w:val="44CC46BA"/>
    <w:rsid w:val="44DC46EB"/>
    <w:rsid w:val="44E8312D"/>
    <w:rsid w:val="44EA6491"/>
    <w:rsid w:val="44F03F8F"/>
    <w:rsid w:val="44F14ECF"/>
    <w:rsid w:val="451837D5"/>
    <w:rsid w:val="451A120C"/>
    <w:rsid w:val="45275172"/>
    <w:rsid w:val="45306C84"/>
    <w:rsid w:val="45332511"/>
    <w:rsid w:val="453F44DA"/>
    <w:rsid w:val="45412391"/>
    <w:rsid w:val="45412C46"/>
    <w:rsid w:val="45415434"/>
    <w:rsid w:val="454316E5"/>
    <w:rsid w:val="45440AD0"/>
    <w:rsid w:val="454A3E13"/>
    <w:rsid w:val="455147FE"/>
    <w:rsid w:val="45514AD5"/>
    <w:rsid w:val="4552412E"/>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0F1C96"/>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55DC3"/>
    <w:rsid w:val="46560D65"/>
    <w:rsid w:val="465901BC"/>
    <w:rsid w:val="46617DB2"/>
    <w:rsid w:val="46621065"/>
    <w:rsid w:val="46665198"/>
    <w:rsid w:val="46697236"/>
    <w:rsid w:val="46770F8B"/>
    <w:rsid w:val="467C16FA"/>
    <w:rsid w:val="467C28B2"/>
    <w:rsid w:val="46831AE2"/>
    <w:rsid w:val="46894B18"/>
    <w:rsid w:val="469448C6"/>
    <w:rsid w:val="46953B12"/>
    <w:rsid w:val="469965DF"/>
    <w:rsid w:val="469A1E62"/>
    <w:rsid w:val="46AB0067"/>
    <w:rsid w:val="46B80AF8"/>
    <w:rsid w:val="46D37F0B"/>
    <w:rsid w:val="46D71533"/>
    <w:rsid w:val="46E53335"/>
    <w:rsid w:val="46ED5319"/>
    <w:rsid w:val="46FF5C70"/>
    <w:rsid w:val="47155D89"/>
    <w:rsid w:val="473069AF"/>
    <w:rsid w:val="473E4AD0"/>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D511BD"/>
    <w:rsid w:val="47DB65F6"/>
    <w:rsid w:val="47DD11F5"/>
    <w:rsid w:val="47ED307F"/>
    <w:rsid w:val="48020DE8"/>
    <w:rsid w:val="4808150F"/>
    <w:rsid w:val="480F51A8"/>
    <w:rsid w:val="48256B1B"/>
    <w:rsid w:val="482714E0"/>
    <w:rsid w:val="48282713"/>
    <w:rsid w:val="483914BE"/>
    <w:rsid w:val="484417FA"/>
    <w:rsid w:val="48450ECE"/>
    <w:rsid w:val="484759CD"/>
    <w:rsid w:val="484B14EC"/>
    <w:rsid w:val="485A1E43"/>
    <w:rsid w:val="48602710"/>
    <w:rsid w:val="48713351"/>
    <w:rsid w:val="487620DF"/>
    <w:rsid w:val="48802846"/>
    <w:rsid w:val="488260F9"/>
    <w:rsid w:val="48850157"/>
    <w:rsid w:val="48916C74"/>
    <w:rsid w:val="48916F56"/>
    <w:rsid w:val="4892478F"/>
    <w:rsid w:val="48971227"/>
    <w:rsid w:val="48A736CF"/>
    <w:rsid w:val="48A779B9"/>
    <w:rsid w:val="48B116EA"/>
    <w:rsid w:val="48B74C7A"/>
    <w:rsid w:val="48BE32BF"/>
    <w:rsid w:val="48C354EC"/>
    <w:rsid w:val="48C4559B"/>
    <w:rsid w:val="48C71A5A"/>
    <w:rsid w:val="48D429DD"/>
    <w:rsid w:val="48E01C77"/>
    <w:rsid w:val="48E22285"/>
    <w:rsid w:val="48E50D90"/>
    <w:rsid w:val="48EB0D16"/>
    <w:rsid w:val="48FA15CC"/>
    <w:rsid w:val="4916605C"/>
    <w:rsid w:val="491B63DF"/>
    <w:rsid w:val="491D63E9"/>
    <w:rsid w:val="4920610E"/>
    <w:rsid w:val="4932285C"/>
    <w:rsid w:val="4937272B"/>
    <w:rsid w:val="4937722C"/>
    <w:rsid w:val="49384E02"/>
    <w:rsid w:val="493E2F78"/>
    <w:rsid w:val="494049CC"/>
    <w:rsid w:val="49411EAF"/>
    <w:rsid w:val="495217DF"/>
    <w:rsid w:val="49572F75"/>
    <w:rsid w:val="4958367A"/>
    <w:rsid w:val="495A044A"/>
    <w:rsid w:val="497206BF"/>
    <w:rsid w:val="497C7C92"/>
    <w:rsid w:val="498817B3"/>
    <w:rsid w:val="498A16CD"/>
    <w:rsid w:val="499C7517"/>
    <w:rsid w:val="499E07E8"/>
    <w:rsid w:val="49A14359"/>
    <w:rsid w:val="49A33C27"/>
    <w:rsid w:val="49A750B5"/>
    <w:rsid w:val="49AB1A6B"/>
    <w:rsid w:val="49AE6AF5"/>
    <w:rsid w:val="49BE07DA"/>
    <w:rsid w:val="49C62636"/>
    <w:rsid w:val="49C84AA0"/>
    <w:rsid w:val="49CE3923"/>
    <w:rsid w:val="49CF11BE"/>
    <w:rsid w:val="49D7694D"/>
    <w:rsid w:val="49E234CC"/>
    <w:rsid w:val="49EC3531"/>
    <w:rsid w:val="49F152D3"/>
    <w:rsid w:val="49F8312B"/>
    <w:rsid w:val="4A0244D3"/>
    <w:rsid w:val="4A0B3920"/>
    <w:rsid w:val="4A255046"/>
    <w:rsid w:val="4A276433"/>
    <w:rsid w:val="4A2E1525"/>
    <w:rsid w:val="4A3D3E88"/>
    <w:rsid w:val="4A4A538E"/>
    <w:rsid w:val="4A5A756D"/>
    <w:rsid w:val="4A5E7C7E"/>
    <w:rsid w:val="4A722B4C"/>
    <w:rsid w:val="4A785772"/>
    <w:rsid w:val="4A842E43"/>
    <w:rsid w:val="4A845C50"/>
    <w:rsid w:val="4A89105B"/>
    <w:rsid w:val="4AA341CC"/>
    <w:rsid w:val="4AA939F9"/>
    <w:rsid w:val="4AB21F2E"/>
    <w:rsid w:val="4AC13295"/>
    <w:rsid w:val="4AC31003"/>
    <w:rsid w:val="4AC40F4C"/>
    <w:rsid w:val="4ACC44B7"/>
    <w:rsid w:val="4AD25F33"/>
    <w:rsid w:val="4ADD641F"/>
    <w:rsid w:val="4ADF3B16"/>
    <w:rsid w:val="4AE072CB"/>
    <w:rsid w:val="4AE1398C"/>
    <w:rsid w:val="4AE93159"/>
    <w:rsid w:val="4AE951C1"/>
    <w:rsid w:val="4AF02EA1"/>
    <w:rsid w:val="4AF8693E"/>
    <w:rsid w:val="4AF86E0A"/>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D0339A"/>
    <w:rsid w:val="4BD41FD1"/>
    <w:rsid w:val="4BF23C29"/>
    <w:rsid w:val="4BF32495"/>
    <w:rsid w:val="4BF838F0"/>
    <w:rsid w:val="4BFA3FA2"/>
    <w:rsid w:val="4C065916"/>
    <w:rsid w:val="4C096C71"/>
    <w:rsid w:val="4C1269A9"/>
    <w:rsid w:val="4C1A51CC"/>
    <w:rsid w:val="4C2910DF"/>
    <w:rsid w:val="4C2B4DDD"/>
    <w:rsid w:val="4C2D6F06"/>
    <w:rsid w:val="4C3743A5"/>
    <w:rsid w:val="4C3C6B23"/>
    <w:rsid w:val="4C521E0D"/>
    <w:rsid w:val="4C562817"/>
    <w:rsid w:val="4C562920"/>
    <w:rsid w:val="4C5D1F92"/>
    <w:rsid w:val="4C603F16"/>
    <w:rsid w:val="4C6262E0"/>
    <w:rsid w:val="4C6703A3"/>
    <w:rsid w:val="4C6A0682"/>
    <w:rsid w:val="4C6D7518"/>
    <w:rsid w:val="4C777E2A"/>
    <w:rsid w:val="4C923A72"/>
    <w:rsid w:val="4C9B5631"/>
    <w:rsid w:val="4CB836A9"/>
    <w:rsid w:val="4CB96B0F"/>
    <w:rsid w:val="4CBD582C"/>
    <w:rsid w:val="4CC82D24"/>
    <w:rsid w:val="4CCF2CDE"/>
    <w:rsid w:val="4CD84F4C"/>
    <w:rsid w:val="4CE34E9F"/>
    <w:rsid w:val="4CF52D94"/>
    <w:rsid w:val="4CFE5028"/>
    <w:rsid w:val="4D0B5968"/>
    <w:rsid w:val="4D19368B"/>
    <w:rsid w:val="4D410CA2"/>
    <w:rsid w:val="4D462159"/>
    <w:rsid w:val="4D47409F"/>
    <w:rsid w:val="4D525BE3"/>
    <w:rsid w:val="4D566017"/>
    <w:rsid w:val="4D6022FC"/>
    <w:rsid w:val="4D695FF9"/>
    <w:rsid w:val="4D7D3EFB"/>
    <w:rsid w:val="4D866DE7"/>
    <w:rsid w:val="4D8A4C44"/>
    <w:rsid w:val="4D8B0123"/>
    <w:rsid w:val="4D931B47"/>
    <w:rsid w:val="4DAF14C5"/>
    <w:rsid w:val="4DB9067A"/>
    <w:rsid w:val="4DC605B6"/>
    <w:rsid w:val="4DCB146F"/>
    <w:rsid w:val="4DD732D2"/>
    <w:rsid w:val="4DEC0985"/>
    <w:rsid w:val="4DF85277"/>
    <w:rsid w:val="4E024AB6"/>
    <w:rsid w:val="4E0538A3"/>
    <w:rsid w:val="4E0E6818"/>
    <w:rsid w:val="4E27683A"/>
    <w:rsid w:val="4E321D35"/>
    <w:rsid w:val="4E397241"/>
    <w:rsid w:val="4E4B2B03"/>
    <w:rsid w:val="4E4C50A3"/>
    <w:rsid w:val="4E510698"/>
    <w:rsid w:val="4E576363"/>
    <w:rsid w:val="4E5D49B1"/>
    <w:rsid w:val="4E635567"/>
    <w:rsid w:val="4E674786"/>
    <w:rsid w:val="4E6E0A65"/>
    <w:rsid w:val="4E742982"/>
    <w:rsid w:val="4E7F1E8F"/>
    <w:rsid w:val="4E7F5AF4"/>
    <w:rsid w:val="4E862481"/>
    <w:rsid w:val="4E9C0636"/>
    <w:rsid w:val="4E9D29FB"/>
    <w:rsid w:val="4EA22C4C"/>
    <w:rsid w:val="4EA30DB6"/>
    <w:rsid w:val="4EA7341F"/>
    <w:rsid w:val="4EDB58B2"/>
    <w:rsid w:val="4EDD1619"/>
    <w:rsid w:val="4EE925CE"/>
    <w:rsid w:val="4EEA44EB"/>
    <w:rsid w:val="4EEB1A94"/>
    <w:rsid w:val="4EEF2E30"/>
    <w:rsid w:val="4EF24828"/>
    <w:rsid w:val="4EFB7E91"/>
    <w:rsid w:val="4EFE7F59"/>
    <w:rsid w:val="4F1137C6"/>
    <w:rsid w:val="4F23603C"/>
    <w:rsid w:val="4F285975"/>
    <w:rsid w:val="4F2A7BF3"/>
    <w:rsid w:val="4F2E2624"/>
    <w:rsid w:val="4F38184E"/>
    <w:rsid w:val="4F4E1077"/>
    <w:rsid w:val="4F546156"/>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87D3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116D2"/>
    <w:rsid w:val="51230220"/>
    <w:rsid w:val="51471753"/>
    <w:rsid w:val="514C513A"/>
    <w:rsid w:val="514E4912"/>
    <w:rsid w:val="515400FF"/>
    <w:rsid w:val="515D735D"/>
    <w:rsid w:val="51623850"/>
    <w:rsid w:val="517418CD"/>
    <w:rsid w:val="51781A83"/>
    <w:rsid w:val="51802CA0"/>
    <w:rsid w:val="51867298"/>
    <w:rsid w:val="51894D69"/>
    <w:rsid w:val="518D21E1"/>
    <w:rsid w:val="51930297"/>
    <w:rsid w:val="51953936"/>
    <w:rsid w:val="519E116A"/>
    <w:rsid w:val="51A2793A"/>
    <w:rsid w:val="51AD2B9C"/>
    <w:rsid w:val="51BA0CB7"/>
    <w:rsid w:val="51C41A0B"/>
    <w:rsid w:val="51C44E20"/>
    <w:rsid w:val="51CF2D5C"/>
    <w:rsid w:val="51D129CA"/>
    <w:rsid w:val="51D93F8A"/>
    <w:rsid w:val="51DC16DA"/>
    <w:rsid w:val="51E5046A"/>
    <w:rsid w:val="51E7409C"/>
    <w:rsid w:val="52020133"/>
    <w:rsid w:val="520222D8"/>
    <w:rsid w:val="521450B8"/>
    <w:rsid w:val="52272B85"/>
    <w:rsid w:val="52284E31"/>
    <w:rsid w:val="523E09B5"/>
    <w:rsid w:val="52687B2A"/>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3061721"/>
    <w:rsid w:val="530C0E6B"/>
    <w:rsid w:val="530D1C98"/>
    <w:rsid w:val="531A5380"/>
    <w:rsid w:val="531F0245"/>
    <w:rsid w:val="53227B62"/>
    <w:rsid w:val="532F77EA"/>
    <w:rsid w:val="53367575"/>
    <w:rsid w:val="533933AA"/>
    <w:rsid w:val="533B7F54"/>
    <w:rsid w:val="535009E1"/>
    <w:rsid w:val="535321C1"/>
    <w:rsid w:val="53650168"/>
    <w:rsid w:val="536662B9"/>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B65DC"/>
    <w:rsid w:val="54B06F11"/>
    <w:rsid w:val="54B56DF4"/>
    <w:rsid w:val="54B93943"/>
    <w:rsid w:val="54BE5578"/>
    <w:rsid w:val="54BF52B5"/>
    <w:rsid w:val="54D029B2"/>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1C7446"/>
    <w:rsid w:val="55276C59"/>
    <w:rsid w:val="552864FA"/>
    <w:rsid w:val="552A6B56"/>
    <w:rsid w:val="5532385A"/>
    <w:rsid w:val="55371339"/>
    <w:rsid w:val="55381D42"/>
    <w:rsid w:val="55401B14"/>
    <w:rsid w:val="554748F2"/>
    <w:rsid w:val="554D414C"/>
    <w:rsid w:val="554E7279"/>
    <w:rsid w:val="55516A9E"/>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32642A"/>
    <w:rsid w:val="56375B61"/>
    <w:rsid w:val="564944F4"/>
    <w:rsid w:val="564D4C5B"/>
    <w:rsid w:val="564E5820"/>
    <w:rsid w:val="56594C9E"/>
    <w:rsid w:val="56630C00"/>
    <w:rsid w:val="56687250"/>
    <w:rsid w:val="567739D2"/>
    <w:rsid w:val="56775A0A"/>
    <w:rsid w:val="567F6E75"/>
    <w:rsid w:val="5686536D"/>
    <w:rsid w:val="568B1DB1"/>
    <w:rsid w:val="569600BA"/>
    <w:rsid w:val="56A55214"/>
    <w:rsid w:val="56A67978"/>
    <w:rsid w:val="56A80039"/>
    <w:rsid w:val="56AC63C5"/>
    <w:rsid w:val="56C008D5"/>
    <w:rsid w:val="56C1700B"/>
    <w:rsid w:val="56C34302"/>
    <w:rsid w:val="56C35508"/>
    <w:rsid w:val="56D25618"/>
    <w:rsid w:val="56D5793F"/>
    <w:rsid w:val="56D7644B"/>
    <w:rsid w:val="56E84A97"/>
    <w:rsid w:val="56FB2A68"/>
    <w:rsid w:val="56FE1A50"/>
    <w:rsid w:val="57011F3E"/>
    <w:rsid w:val="5705646B"/>
    <w:rsid w:val="57060649"/>
    <w:rsid w:val="571A1955"/>
    <w:rsid w:val="572657E3"/>
    <w:rsid w:val="5732705F"/>
    <w:rsid w:val="57351D6F"/>
    <w:rsid w:val="57454F4D"/>
    <w:rsid w:val="57466C3E"/>
    <w:rsid w:val="574E07C7"/>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B6ADD"/>
    <w:rsid w:val="57AC2A28"/>
    <w:rsid w:val="57B15BDB"/>
    <w:rsid w:val="57B7178E"/>
    <w:rsid w:val="57B76EED"/>
    <w:rsid w:val="57BD72A7"/>
    <w:rsid w:val="57BE5838"/>
    <w:rsid w:val="57D16146"/>
    <w:rsid w:val="57D82354"/>
    <w:rsid w:val="57EB3AC0"/>
    <w:rsid w:val="57EB6DC4"/>
    <w:rsid w:val="57FC07D9"/>
    <w:rsid w:val="57FD7F73"/>
    <w:rsid w:val="57FF6992"/>
    <w:rsid w:val="580B408B"/>
    <w:rsid w:val="580F1B21"/>
    <w:rsid w:val="58191E63"/>
    <w:rsid w:val="581B7E79"/>
    <w:rsid w:val="58265D9B"/>
    <w:rsid w:val="58325C2F"/>
    <w:rsid w:val="58500F22"/>
    <w:rsid w:val="58510734"/>
    <w:rsid w:val="58527FAB"/>
    <w:rsid w:val="58587379"/>
    <w:rsid w:val="586D57A3"/>
    <w:rsid w:val="587917A0"/>
    <w:rsid w:val="587A4288"/>
    <w:rsid w:val="587B662F"/>
    <w:rsid w:val="5880052B"/>
    <w:rsid w:val="588E76C9"/>
    <w:rsid w:val="589571D3"/>
    <w:rsid w:val="58AD27D9"/>
    <w:rsid w:val="58AD42B1"/>
    <w:rsid w:val="58B169A2"/>
    <w:rsid w:val="58B6512E"/>
    <w:rsid w:val="58B9636C"/>
    <w:rsid w:val="58C37133"/>
    <w:rsid w:val="58C93046"/>
    <w:rsid w:val="58D36BCB"/>
    <w:rsid w:val="58D643B4"/>
    <w:rsid w:val="58D7351E"/>
    <w:rsid w:val="58E6349C"/>
    <w:rsid w:val="58EF63EE"/>
    <w:rsid w:val="590317F0"/>
    <w:rsid w:val="59075000"/>
    <w:rsid w:val="591878D4"/>
    <w:rsid w:val="592A35DE"/>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36725"/>
    <w:rsid w:val="59B21BF9"/>
    <w:rsid w:val="59BA46A2"/>
    <w:rsid w:val="59BB4EA3"/>
    <w:rsid w:val="59CF48AD"/>
    <w:rsid w:val="59E9525B"/>
    <w:rsid w:val="59F01484"/>
    <w:rsid w:val="59F55223"/>
    <w:rsid w:val="59F70BAF"/>
    <w:rsid w:val="5A023A34"/>
    <w:rsid w:val="5A0F52D4"/>
    <w:rsid w:val="5A170C5A"/>
    <w:rsid w:val="5A1A17BB"/>
    <w:rsid w:val="5A297D0D"/>
    <w:rsid w:val="5A3C0F08"/>
    <w:rsid w:val="5A3E5B83"/>
    <w:rsid w:val="5A4440A8"/>
    <w:rsid w:val="5A4B5B7A"/>
    <w:rsid w:val="5A5663A3"/>
    <w:rsid w:val="5A571746"/>
    <w:rsid w:val="5A6253E3"/>
    <w:rsid w:val="5A6667DB"/>
    <w:rsid w:val="5A8E6670"/>
    <w:rsid w:val="5A912613"/>
    <w:rsid w:val="5A923F1B"/>
    <w:rsid w:val="5A9245E9"/>
    <w:rsid w:val="5A953D41"/>
    <w:rsid w:val="5A9A4D4B"/>
    <w:rsid w:val="5A9B495D"/>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AFB639C"/>
    <w:rsid w:val="5B141085"/>
    <w:rsid w:val="5B28192B"/>
    <w:rsid w:val="5B32616A"/>
    <w:rsid w:val="5B342BAD"/>
    <w:rsid w:val="5B4007EF"/>
    <w:rsid w:val="5B495A92"/>
    <w:rsid w:val="5B4D1F7C"/>
    <w:rsid w:val="5B564EFB"/>
    <w:rsid w:val="5B583BEB"/>
    <w:rsid w:val="5B6667A3"/>
    <w:rsid w:val="5B66707B"/>
    <w:rsid w:val="5B673066"/>
    <w:rsid w:val="5B690719"/>
    <w:rsid w:val="5B6A48A8"/>
    <w:rsid w:val="5B6B40B1"/>
    <w:rsid w:val="5B731FA9"/>
    <w:rsid w:val="5B785E83"/>
    <w:rsid w:val="5B7C1CD1"/>
    <w:rsid w:val="5B882E2D"/>
    <w:rsid w:val="5B9004A9"/>
    <w:rsid w:val="5B907C6C"/>
    <w:rsid w:val="5B9251EF"/>
    <w:rsid w:val="5BAB5BC4"/>
    <w:rsid w:val="5BB20B74"/>
    <w:rsid w:val="5BC677D8"/>
    <w:rsid w:val="5BC82981"/>
    <w:rsid w:val="5BE15701"/>
    <w:rsid w:val="5BE6235A"/>
    <w:rsid w:val="5BEB0120"/>
    <w:rsid w:val="5BEC175C"/>
    <w:rsid w:val="5BFA30A6"/>
    <w:rsid w:val="5C097C4E"/>
    <w:rsid w:val="5C0D717D"/>
    <w:rsid w:val="5C1A3A93"/>
    <w:rsid w:val="5C1C16CF"/>
    <w:rsid w:val="5C235386"/>
    <w:rsid w:val="5C277EFF"/>
    <w:rsid w:val="5C3A76D7"/>
    <w:rsid w:val="5C3B6CFC"/>
    <w:rsid w:val="5C3C1AE5"/>
    <w:rsid w:val="5C4A34F9"/>
    <w:rsid w:val="5C4C2CF4"/>
    <w:rsid w:val="5C5A7F10"/>
    <w:rsid w:val="5C6422CD"/>
    <w:rsid w:val="5C6B1600"/>
    <w:rsid w:val="5C7B1749"/>
    <w:rsid w:val="5C7D70D1"/>
    <w:rsid w:val="5C8542A8"/>
    <w:rsid w:val="5C9F41E0"/>
    <w:rsid w:val="5CA6294E"/>
    <w:rsid w:val="5CA92DD2"/>
    <w:rsid w:val="5CAC6214"/>
    <w:rsid w:val="5CAF2FDA"/>
    <w:rsid w:val="5CBA57B4"/>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F4802"/>
    <w:rsid w:val="5D3444E6"/>
    <w:rsid w:val="5D3F0BDF"/>
    <w:rsid w:val="5D4A529A"/>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D4A67"/>
    <w:rsid w:val="5E1F2E4C"/>
    <w:rsid w:val="5E237029"/>
    <w:rsid w:val="5E3A3BD1"/>
    <w:rsid w:val="5E40628A"/>
    <w:rsid w:val="5E4F1C2F"/>
    <w:rsid w:val="5E5203B8"/>
    <w:rsid w:val="5E5D7D0E"/>
    <w:rsid w:val="5E64345A"/>
    <w:rsid w:val="5E66256E"/>
    <w:rsid w:val="5E670AC9"/>
    <w:rsid w:val="5E6A5399"/>
    <w:rsid w:val="5E704921"/>
    <w:rsid w:val="5E71373F"/>
    <w:rsid w:val="5E717191"/>
    <w:rsid w:val="5E761147"/>
    <w:rsid w:val="5E812F0A"/>
    <w:rsid w:val="5E830708"/>
    <w:rsid w:val="5E831398"/>
    <w:rsid w:val="5E85633A"/>
    <w:rsid w:val="5E921A45"/>
    <w:rsid w:val="5E975993"/>
    <w:rsid w:val="5EA627AF"/>
    <w:rsid w:val="5EB07A41"/>
    <w:rsid w:val="5EB51FDE"/>
    <w:rsid w:val="5EB826AC"/>
    <w:rsid w:val="5EBA4472"/>
    <w:rsid w:val="5EC3227D"/>
    <w:rsid w:val="5ECA2293"/>
    <w:rsid w:val="5ECA3D37"/>
    <w:rsid w:val="5EE00BB3"/>
    <w:rsid w:val="5EE153F8"/>
    <w:rsid w:val="5EED7893"/>
    <w:rsid w:val="5EFB2125"/>
    <w:rsid w:val="5EFB6F0A"/>
    <w:rsid w:val="5F0279C4"/>
    <w:rsid w:val="5F043765"/>
    <w:rsid w:val="5F0A3A61"/>
    <w:rsid w:val="5F1E1D1D"/>
    <w:rsid w:val="5F28007C"/>
    <w:rsid w:val="5F3370DF"/>
    <w:rsid w:val="5F351942"/>
    <w:rsid w:val="5F395DFE"/>
    <w:rsid w:val="5F3B6ED3"/>
    <w:rsid w:val="5F45020C"/>
    <w:rsid w:val="5F495527"/>
    <w:rsid w:val="5F5D4AA6"/>
    <w:rsid w:val="5F683B6E"/>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C236D"/>
    <w:rsid w:val="603514E5"/>
    <w:rsid w:val="603967D7"/>
    <w:rsid w:val="603D3325"/>
    <w:rsid w:val="604040A8"/>
    <w:rsid w:val="60443CFE"/>
    <w:rsid w:val="60470CE3"/>
    <w:rsid w:val="604743E7"/>
    <w:rsid w:val="6057218F"/>
    <w:rsid w:val="605F4F5D"/>
    <w:rsid w:val="606711B4"/>
    <w:rsid w:val="60673C40"/>
    <w:rsid w:val="606A52D4"/>
    <w:rsid w:val="607C3753"/>
    <w:rsid w:val="60895CED"/>
    <w:rsid w:val="608A554D"/>
    <w:rsid w:val="608D1D4E"/>
    <w:rsid w:val="608D7975"/>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F90C00"/>
    <w:rsid w:val="61110088"/>
    <w:rsid w:val="6121108E"/>
    <w:rsid w:val="61421EFD"/>
    <w:rsid w:val="61457124"/>
    <w:rsid w:val="61507CAF"/>
    <w:rsid w:val="615C5041"/>
    <w:rsid w:val="61631B5D"/>
    <w:rsid w:val="617874FC"/>
    <w:rsid w:val="617A6EE7"/>
    <w:rsid w:val="617E7C88"/>
    <w:rsid w:val="6182260C"/>
    <w:rsid w:val="61996169"/>
    <w:rsid w:val="619B60ED"/>
    <w:rsid w:val="61A773BF"/>
    <w:rsid w:val="61AD68BC"/>
    <w:rsid w:val="61AE5BE1"/>
    <w:rsid w:val="61B173D2"/>
    <w:rsid w:val="61D43510"/>
    <w:rsid w:val="61D43A2B"/>
    <w:rsid w:val="61E34474"/>
    <w:rsid w:val="61FF316E"/>
    <w:rsid w:val="621542CB"/>
    <w:rsid w:val="62172EDA"/>
    <w:rsid w:val="62363666"/>
    <w:rsid w:val="623E513D"/>
    <w:rsid w:val="623F0B7F"/>
    <w:rsid w:val="624263A2"/>
    <w:rsid w:val="625272C3"/>
    <w:rsid w:val="625E7607"/>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DE1443"/>
    <w:rsid w:val="62F05276"/>
    <w:rsid w:val="62F6011A"/>
    <w:rsid w:val="62FD2BA9"/>
    <w:rsid w:val="630C6A8F"/>
    <w:rsid w:val="6327422B"/>
    <w:rsid w:val="6328597C"/>
    <w:rsid w:val="632F2F8E"/>
    <w:rsid w:val="63314C2A"/>
    <w:rsid w:val="633B249F"/>
    <w:rsid w:val="63552D76"/>
    <w:rsid w:val="6359778B"/>
    <w:rsid w:val="635B63E3"/>
    <w:rsid w:val="63654417"/>
    <w:rsid w:val="636A48AB"/>
    <w:rsid w:val="638C3395"/>
    <w:rsid w:val="63927E66"/>
    <w:rsid w:val="639C2AFB"/>
    <w:rsid w:val="63A163DD"/>
    <w:rsid w:val="63B82D87"/>
    <w:rsid w:val="63BA3154"/>
    <w:rsid w:val="63C948C4"/>
    <w:rsid w:val="63CA2E8B"/>
    <w:rsid w:val="63D4153E"/>
    <w:rsid w:val="63DC7755"/>
    <w:rsid w:val="63E05970"/>
    <w:rsid w:val="63E43D21"/>
    <w:rsid w:val="63E97377"/>
    <w:rsid w:val="63EA4DF9"/>
    <w:rsid w:val="63F47D2A"/>
    <w:rsid w:val="63FE2D33"/>
    <w:rsid w:val="64046427"/>
    <w:rsid w:val="641461CF"/>
    <w:rsid w:val="64195948"/>
    <w:rsid w:val="641A3F4C"/>
    <w:rsid w:val="64202F9E"/>
    <w:rsid w:val="64264A79"/>
    <w:rsid w:val="64290161"/>
    <w:rsid w:val="642D0D23"/>
    <w:rsid w:val="64304E58"/>
    <w:rsid w:val="64311867"/>
    <w:rsid w:val="64391ED3"/>
    <w:rsid w:val="64426B0C"/>
    <w:rsid w:val="6445632E"/>
    <w:rsid w:val="644D3D02"/>
    <w:rsid w:val="645C7EA7"/>
    <w:rsid w:val="64742B63"/>
    <w:rsid w:val="647E661E"/>
    <w:rsid w:val="648939AA"/>
    <w:rsid w:val="64897A59"/>
    <w:rsid w:val="648C635C"/>
    <w:rsid w:val="64927F4F"/>
    <w:rsid w:val="649B1AC2"/>
    <w:rsid w:val="64A7467B"/>
    <w:rsid w:val="64B53322"/>
    <w:rsid w:val="64C61AF8"/>
    <w:rsid w:val="64C70058"/>
    <w:rsid w:val="64C86505"/>
    <w:rsid w:val="64EC5D31"/>
    <w:rsid w:val="64F132B2"/>
    <w:rsid w:val="64FE700F"/>
    <w:rsid w:val="6500327F"/>
    <w:rsid w:val="6506609B"/>
    <w:rsid w:val="65083216"/>
    <w:rsid w:val="6508621E"/>
    <w:rsid w:val="65092761"/>
    <w:rsid w:val="651E3B1A"/>
    <w:rsid w:val="653300A4"/>
    <w:rsid w:val="65460728"/>
    <w:rsid w:val="655A04C2"/>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D21E90"/>
    <w:rsid w:val="65D23D59"/>
    <w:rsid w:val="65D4773F"/>
    <w:rsid w:val="65D83403"/>
    <w:rsid w:val="65DC5939"/>
    <w:rsid w:val="65DC7985"/>
    <w:rsid w:val="65E671BD"/>
    <w:rsid w:val="65F14641"/>
    <w:rsid w:val="65F22E66"/>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A078F"/>
    <w:rsid w:val="665B55EA"/>
    <w:rsid w:val="66641D58"/>
    <w:rsid w:val="66655F85"/>
    <w:rsid w:val="667C7AEC"/>
    <w:rsid w:val="66847466"/>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914BE1"/>
    <w:rsid w:val="67984863"/>
    <w:rsid w:val="67A01F16"/>
    <w:rsid w:val="67B163D1"/>
    <w:rsid w:val="67C136F2"/>
    <w:rsid w:val="67CA69AB"/>
    <w:rsid w:val="67E77C07"/>
    <w:rsid w:val="67EF299C"/>
    <w:rsid w:val="67F45538"/>
    <w:rsid w:val="67F66B9D"/>
    <w:rsid w:val="680239EB"/>
    <w:rsid w:val="680722DA"/>
    <w:rsid w:val="6809309C"/>
    <w:rsid w:val="68120E37"/>
    <w:rsid w:val="681306CB"/>
    <w:rsid w:val="682211D1"/>
    <w:rsid w:val="684B40A8"/>
    <w:rsid w:val="685B4737"/>
    <w:rsid w:val="685C6395"/>
    <w:rsid w:val="686318DD"/>
    <w:rsid w:val="68635145"/>
    <w:rsid w:val="686626D4"/>
    <w:rsid w:val="68665F57"/>
    <w:rsid w:val="687F607E"/>
    <w:rsid w:val="688C4213"/>
    <w:rsid w:val="688D4D1E"/>
    <w:rsid w:val="68916B30"/>
    <w:rsid w:val="68950378"/>
    <w:rsid w:val="68984999"/>
    <w:rsid w:val="689A41FB"/>
    <w:rsid w:val="689C2BAE"/>
    <w:rsid w:val="689E57F0"/>
    <w:rsid w:val="68A34C5C"/>
    <w:rsid w:val="68B44788"/>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D306AC"/>
    <w:rsid w:val="69D34F66"/>
    <w:rsid w:val="69E00E47"/>
    <w:rsid w:val="69EC1B4D"/>
    <w:rsid w:val="69EC6D9F"/>
    <w:rsid w:val="69F0745A"/>
    <w:rsid w:val="69F66961"/>
    <w:rsid w:val="6A0961EA"/>
    <w:rsid w:val="6A0D20F2"/>
    <w:rsid w:val="6A0D2F74"/>
    <w:rsid w:val="6A1742A1"/>
    <w:rsid w:val="6A1C4CE3"/>
    <w:rsid w:val="6A1D59EC"/>
    <w:rsid w:val="6A2353D4"/>
    <w:rsid w:val="6A247F72"/>
    <w:rsid w:val="6A3E2393"/>
    <w:rsid w:val="6A435B92"/>
    <w:rsid w:val="6A444DB8"/>
    <w:rsid w:val="6A4D4828"/>
    <w:rsid w:val="6A4D6D96"/>
    <w:rsid w:val="6A516AC3"/>
    <w:rsid w:val="6A5303BA"/>
    <w:rsid w:val="6A5F3F1C"/>
    <w:rsid w:val="6A677080"/>
    <w:rsid w:val="6A6C5C1E"/>
    <w:rsid w:val="6A711183"/>
    <w:rsid w:val="6A7468D5"/>
    <w:rsid w:val="6A790E3A"/>
    <w:rsid w:val="6A7B4B9C"/>
    <w:rsid w:val="6A84768F"/>
    <w:rsid w:val="6A917541"/>
    <w:rsid w:val="6A9C00F5"/>
    <w:rsid w:val="6AA35330"/>
    <w:rsid w:val="6AAC0B91"/>
    <w:rsid w:val="6AAF014C"/>
    <w:rsid w:val="6AC07690"/>
    <w:rsid w:val="6ACB082B"/>
    <w:rsid w:val="6AD3247E"/>
    <w:rsid w:val="6AD716BA"/>
    <w:rsid w:val="6AE21187"/>
    <w:rsid w:val="6AE4699C"/>
    <w:rsid w:val="6AF124EA"/>
    <w:rsid w:val="6AF317C6"/>
    <w:rsid w:val="6AF64D9A"/>
    <w:rsid w:val="6B09696B"/>
    <w:rsid w:val="6B1235B7"/>
    <w:rsid w:val="6B127D23"/>
    <w:rsid w:val="6B2167BD"/>
    <w:rsid w:val="6B2B0EFD"/>
    <w:rsid w:val="6B2C13E4"/>
    <w:rsid w:val="6B2D2EEB"/>
    <w:rsid w:val="6B346460"/>
    <w:rsid w:val="6B373CEA"/>
    <w:rsid w:val="6B410613"/>
    <w:rsid w:val="6B4B0A4C"/>
    <w:rsid w:val="6B4B36C9"/>
    <w:rsid w:val="6B4E75E6"/>
    <w:rsid w:val="6B50310B"/>
    <w:rsid w:val="6B5045E2"/>
    <w:rsid w:val="6B517D2C"/>
    <w:rsid w:val="6B560E7C"/>
    <w:rsid w:val="6B5B3B9E"/>
    <w:rsid w:val="6B5C4553"/>
    <w:rsid w:val="6B5C5561"/>
    <w:rsid w:val="6B695848"/>
    <w:rsid w:val="6B730045"/>
    <w:rsid w:val="6B736A2E"/>
    <w:rsid w:val="6B874340"/>
    <w:rsid w:val="6B884219"/>
    <w:rsid w:val="6B8A6FE8"/>
    <w:rsid w:val="6B90781F"/>
    <w:rsid w:val="6B961E42"/>
    <w:rsid w:val="6BA6663C"/>
    <w:rsid w:val="6BA9194F"/>
    <w:rsid w:val="6BB81A6C"/>
    <w:rsid w:val="6BCF6F5D"/>
    <w:rsid w:val="6BE51CE3"/>
    <w:rsid w:val="6BE622E5"/>
    <w:rsid w:val="6BE727F5"/>
    <w:rsid w:val="6BE9361A"/>
    <w:rsid w:val="6C0858B3"/>
    <w:rsid w:val="6C1134DA"/>
    <w:rsid w:val="6C240DF3"/>
    <w:rsid w:val="6C41527C"/>
    <w:rsid w:val="6C45610F"/>
    <w:rsid w:val="6C550EC6"/>
    <w:rsid w:val="6C59472D"/>
    <w:rsid w:val="6C5A4564"/>
    <w:rsid w:val="6C5E0510"/>
    <w:rsid w:val="6C603744"/>
    <w:rsid w:val="6C610784"/>
    <w:rsid w:val="6C637CCF"/>
    <w:rsid w:val="6C6A15BA"/>
    <w:rsid w:val="6C731C6C"/>
    <w:rsid w:val="6C733992"/>
    <w:rsid w:val="6C7802EB"/>
    <w:rsid w:val="6C89456C"/>
    <w:rsid w:val="6C9611B5"/>
    <w:rsid w:val="6CA20D5B"/>
    <w:rsid w:val="6CA60496"/>
    <w:rsid w:val="6CB71894"/>
    <w:rsid w:val="6CBB58FB"/>
    <w:rsid w:val="6CC535EE"/>
    <w:rsid w:val="6CD431E3"/>
    <w:rsid w:val="6CD50C99"/>
    <w:rsid w:val="6CD63FB3"/>
    <w:rsid w:val="6CDC3EA7"/>
    <w:rsid w:val="6CDD06CC"/>
    <w:rsid w:val="6CDF2E4F"/>
    <w:rsid w:val="6CFE035F"/>
    <w:rsid w:val="6CFF5623"/>
    <w:rsid w:val="6D056EA6"/>
    <w:rsid w:val="6D13119B"/>
    <w:rsid w:val="6D1766A9"/>
    <w:rsid w:val="6D221E52"/>
    <w:rsid w:val="6D227835"/>
    <w:rsid w:val="6D2663D9"/>
    <w:rsid w:val="6D2834C8"/>
    <w:rsid w:val="6D2F1F0B"/>
    <w:rsid w:val="6D3C6626"/>
    <w:rsid w:val="6D3E495C"/>
    <w:rsid w:val="6D456747"/>
    <w:rsid w:val="6D5D0DB5"/>
    <w:rsid w:val="6D6855B1"/>
    <w:rsid w:val="6D7B4AB7"/>
    <w:rsid w:val="6D836C02"/>
    <w:rsid w:val="6D874AC3"/>
    <w:rsid w:val="6D89784B"/>
    <w:rsid w:val="6D9057BE"/>
    <w:rsid w:val="6D9E0566"/>
    <w:rsid w:val="6DB10625"/>
    <w:rsid w:val="6DBE7F27"/>
    <w:rsid w:val="6DC441C8"/>
    <w:rsid w:val="6DCF21B6"/>
    <w:rsid w:val="6DD13295"/>
    <w:rsid w:val="6DDC5249"/>
    <w:rsid w:val="6DF43BD4"/>
    <w:rsid w:val="6E0E1FAB"/>
    <w:rsid w:val="6E1D22B5"/>
    <w:rsid w:val="6E2143FB"/>
    <w:rsid w:val="6E2241BE"/>
    <w:rsid w:val="6E235490"/>
    <w:rsid w:val="6E317378"/>
    <w:rsid w:val="6E35795C"/>
    <w:rsid w:val="6E374904"/>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15C8"/>
    <w:rsid w:val="6F5F4FCB"/>
    <w:rsid w:val="6F6F14E1"/>
    <w:rsid w:val="6F86160F"/>
    <w:rsid w:val="6F884D8A"/>
    <w:rsid w:val="6F89712B"/>
    <w:rsid w:val="6F983C13"/>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0429F"/>
    <w:rsid w:val="7032079E"/>
    <w:rsid w:val="70375C5A"/>
    <w:rsid w:val="703947D7"/>
    <w:rsid w:val="703C186A"/>
    <w:rsid w:val="70570007"/>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1015D6B"/>
    <w:rsid w:val="71115386"/>
    <w:rsid w:val="71151975"/>
    <w:rsid w:val="71220857"/>
    <w:rsid w:val="71222C53"/>
    <w:rsid w:val="71336A65"/>
    <w:rsid w:val="71411A70"/>
    <w:rsid w:val="71477682"/>
    <w:rsid w:val="71545B37"/>
    <w:rsid w:val="71570E43"/>
    <w:rsid w:val="71573E01"/>
    <w:rsid w:val="71702748"/>
    <w:rsid w:val="71862E8D"/>
    <w:rsid w:val="71867894"/>
    <w:rsid w:val="718B0CD8"/>
    <w:rsid w:val="719F7A78"/>
    <w:rsid w:val="71A73EB4"/>
    <w:rsid w:val="71B25E63"/>
    <w:rsid w:val="71B30ACA"/>
    <w:rsid w:val="71B623F6"/>
    <w:rsid w:val="71C7540C"/>
    <w:rsid w:val="71E41366"/>
    <w:rsid w:val="71ED2496"/>
    <w:rsid w:val="71F14FC5"/>
    <w:rsid w:val="71F64A63"/>
    <w:rsid w:val="71F870B8"/>
    <w:rsid w:val="7200001E"/>
    <w:rsid w:val="72021233"/>
    <w:rsid w:val="720B2A1D"/>
    <w:rsid w:val="72147937"/>
    <w:rsid w:val="7217235D"/>
    <w:rsid w:val="72175F5D"/>
    <w:rsid w:val="72346B55"/>
    <w:rsid w:val="723959DC"/>
    <w:rsid w:val="723E7E80"/>
    <w:rsid w:val="724B5FB3"/>
    <w:rsid w:val="724C3314"/>
    <w:rsid w:val="72502F9F"/>
    <w:rsid w:val="72514753"/>
    <w:rsid w:val="72524B90"/>
    <w:rsid w:val="725817D3"/>
    <w:rsid w:val="725B3685"/>
    <w:rsid w:val="726E6AD4"/>
    <w:rsid w:val="727C422C"/>
    <w:rsid w:val="727C7861"/>
    <w:rsid w:val="727D5DD0"/>
    <w:rsid w:val="728E71EE"/>
    <w:rsid w:val="7292045A"/>
    <w:rsid w:val="72974DBE"/>
    <w:rsid w:val="72A20C20"/>
    <w:rsid w:val="72AC5E95"/>
    <w:rsid w:val="72B104F9"/>
    <w:rsid w:val="72B24C9A"/>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2B736C"/>
    <w:rsid w:val="732C334F"/>
    <w:rsid w:val="73303587"/>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427D"/>
    <w:rsid w:val="739F1660"/>
    <w:rsid w:val="73B047C3"/>
    <w:rsid w:val="73B62302"/>
    <w:rsid w:val="73BC7089"/>
    <w:rsid w:val="73BE7067"/>
    <w:rsid w:val="73C34124"/>
    <w:rsid w:val="73D24415"/>
    <w:rsid w:val="73DC33F5"/>
    <w:rsid w:val="73E406FD"/>
    <w:rsid w:val="73E52294"/>
    <w:rsid w:val="73EC5464"/>
    <w:rsid w:val="73FF2D64"/>
    <w:rsid w:val="740F108B"/>
    <w:rsid w:val="74137154"/>
    <w:rsid w:val="741C7D0C"/>
    <w:rsid w:val="741F2652"/>
    <w:rsid w:val="7421310D"/>
    <w:rsid w:val="74257F79"/>
    <w:rsid w:val="74273820"/>
    <w:rsid w:val="7427471C"/>
    <w:rsid w:val="74330EFD"/>
    <w:rsid w:val="74355B0B"/>
    <w:rsid w:val="743C7157"/>
    <w:rsid w:val="74416F54"/>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C03187"/>
    <w:rsid w:val="74C06691"/>
    <w:rsid w:val="74D4082F"/>
    <w:rsid w:val="74DE6B05"/>
    <w:rsid w:val="74E4756E"/>
    <w:rsid w:val="74E86DF6"/>
    <w:rsid w:val="74EB43B2"/>
    <w:rsid w:val="74ED19FF"/>
    <w:rsid w:val="74F747A8"/>
    <w:rsid w:val="75084E8F"/>
    <w:rsid w:val="7509261E"/>
    <w:rsid w:val="750B5416"/>
    <w:rsid w:val="750F16AB"/>
    <w:rsid w:val="75202656"/>
    <w:rsid w:val="752231CE"/>
    <w:rsid w:val="7537255A"/>
    <w:rsid w:val="75396D51"/>
    <w:rsid w:val="75434B0A"/>
    <w:rsid w:val="755756D1"/>
    <w:rsid w:val="75581C92"/>
    <w:rsid w:val="75752B04"/>
    <w:rsid w:val="757D3665"/>
    <w:rsid w:val="758910BB"/>
    <w:rsid w:val="75955DA9"/>
    <w:rsid w:val="75977910"/>
    <w:rsid w:val="759C00A8"/>
    <w:rsid w:val="759F2A35"/>
    <w:rsid w:val="75B15C41"/>
    <w:rsid w:val="75CC5191"/>
    <w:rsid w:val="75D12923"/>
    <w:rsid w:val="75E6623C"/>
    <w:rsid w:val="75EA364B"/>
    <w:rsid w:val="75F20996"/>
    <w:rsid w:val="75F93477"/>
    <w:rsid w:val="75F96973"/>
    <w:rsid w:val="75FE5FB4"/>
    <w:rsid w:val="76123E1D"/>
    <w:rsid w:val="761270F3"/>
    <w:rsid w:val="76225641"/>
    <w:rsid w:val="762A17C0"/>
    <w:rsid w:val="762E4274"/>
    <w:rsid w:val="762E6798"/>
    <w:rsid w:val="76387379"/>
    <w:rsid w:val="76425118"/>
    <w:rsid w:val="76473B19"/>
    <w:rsid w:val="7647727C"/>
    <w:rsid w:val="764838B9"/>
    <w:rsid w:val="764B15DA"/>
    <w:rsid w:val="764C09B4"/>
    <w:rsid w:val="764F5A52"/>
    <w:rsid w:val="7651184F"/>
    <w:rsid w:val="765B27BA"/>
    <w:rsid w:val="765E2788"/>
    <w:rsid w:val="7662102D"/>
    <w:rsid w:val="76647980"/>
    <w:rsid w:val="766827E1"/>
    <w:rsid w:val="766A4A0D"/>
    <w:rsid w:val="76725A45"/>
    <w:rsid w:val="767D1978"/>
    <w:rsid w:val="768C454B"/>
    <w:rsid w:val="76910A96"/>
    <w:rsid w:val="7692667A"/>
    <w:rsid w:val="76982273"/>
    <w:rsid w:val="76997CB2"/>
    <w:rsid w:val="769A7352"/>
    <w:rsid w:val="76A177B8"/>
    <w:rsid w:val="76A562BA"/>
    <w:rsid w:val="76AD2761"/>
    <w:rsid w:val="76B64E53"/>
    <w:rsid w:val="76B8001A"/>
    <w:rsid w:val="76B81599"/>
    <w:rsid w:val="76BB2F21"/>
    <w:rsid w:val="76BB47BC"/>
    <w:rsid w:val="76BC314A"/>
    <w:rsid w:val="76CF29D3"/>
    <w:rsid w:val="76E422FF"/>
    <w:rsid w:val="76EB7E51"/>
    <w:rsid w:val="76EC51FD"/>
    <w:rsid w:val="76F00AAF"/>
    <w:rsid w:val="76F21658"/>
    <w:rsid w:val="76F410B8"/>
    <w:rsid w:val="76F70779"/>
    <w:rsid w:val="770A1659"/>
    <w:rsid w:val="771B67DF"/>
    <w:rsid w:val="77241319"/>
    <w:rsid w:val="77272CAB"/>
    <w:rsid w:val="772C0FCF"/>
    <w:rsid w:val="77335384"/>
    <w:rsid w:val="77451578"/>
    <w:rsid w:val="7750582F"/>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D44398"/>
    <w:rsid w:val="77D967A7"/>
    <w:rsid w:val="77DE5E93"/>
    <w:rsid w:val="77E66E3C"/>
    <w:rsid w:val="77F3789A"/>
    <w:rsid w:val="780326B9"/>
    <w:rsid w:val="780332E5"/>
    <w:rsid w:val="78077B5A"/>
    <w:rsid w:val="782127F0"/>
    <w:rsid w:val="78271E5B"/>
    <w:rsid w:val="783201C2"/>
    <w:rsid w:val="7833711D"/>
    <w:rsid w:val="78460D63"/>
    <w:rsid w:val="78497C2E"/>
    <w:rsid w:val="78502D35"/>
    <w:rsid w:val="785051F3"/>
    <w:rsid w:val="7854087B"/>
    <w:rsid w:val="78615D54"/>
    <w:rsid w:val="786A4053"/>
    <w:rsid w:val="786C46DA"/>
    <w:rsid w:val="78782A0D"/>
    <w:rsid w:val="78785A2F"/>
    <w:rsid w:val="787B5060"/>
    <w:rsid w:val="787E0EB9"/>
    <w:rsid w:val="788720E7"/>
    <w:rsid w:val="789B58CF"/>
    <w:rsid w:val="78A90B04"/>
    <w:rsid w:val="78AE4507"/>
    <w:rsid w:val="78C26D70"/>
    <w:rsid w:val="78C53485"/>
    <w:rsid w:val="78C6693F"/>
    <w:rsid w:val="78C76A01"/>
    <w:rsid w:val="78D508BC"/>
    <w:rsid w:val="78D6764B"/>
    <w:rsid w:val="78DF3BEC"/>
    <w:rsid w:val="78EC45D8"/>
    <w:rsid w:val="78EC6DF0"/>
    <w:rsid w:val="78F5335B"/>
    <w:rsid w:val="78F77CA2"/>
    <w:rsid w:val="790E39D2"/>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804706"/>
    <w:rsid w:val="79807AE3"/>
    <w:rsid w:val="7988227D"/>
    <w:rsid w:val="79941CF2"/>
    <w:rsid w:val="79973382"/>
    <w:rsid w:val="79B03E5E"/>
    <w:rsid w:val="79B4353E"/>
    <w:rsid w:val="79BB4445"/>
    <w:rsid w:val="79D33056"/>
    <w:rsid w:val="79D715DF"/>
    <w:rsid w:val="79E14685"/>
    <w:rsid w:val="79EC0256"/>
    <w:rsid w:val="79F60153"/>
    <w:rsid w:val="79F84570"/>
    <w:rsid w:val="79FA77AD"/>
    <w:rsid w:val="79FB6E2C"/>
    <w:rsid w:val="7A0E2780"/>
    <w:rsid w:val="7A29263F"/>
    <w:rsid w:val="7A36322F"/>
    <w:rsid w:val="7A4B21AB"/>
    <w:rsid w:val="7A4C2D60"/>
    <w:rsid w:val="7A4E5365"/>
    <w:rsid w:val="7A5C5095"/>
    <w:rsid w:val="7A5E0869"/>
    <w:rsid w:val="7A620F06"/>
    <w:rsid w:val="7A6E4BF5"/>
    <w:rsid w:val="7A78261A"/>
    <w:rsid w:val="7A851D5D"/>
    <w:rsid w:val="7A8A2267"/>
    <w:rsid w:val="7AA5314C"/>
    <w:rsid w:val="7AAF50F0"/>
    <w:rsid w:val="7AB53126"/>
    <w:rsid w:val="7AB76FE8"/>
    <w:rsid w:val="7AC06271"/>
    <w:rsid w:val="7AC73DFD"/>
    <w:rsid w:val="7AD268E2"/>
    <w:rsid w:val="7ADC0B33"/>
    <w:rsid w:val="7ADF72B5"/>
    <w:rsid w:val="7AE14C19"/>
    <w:rsid w:val="7AEA174E"/>
    <w:rsid w:val="7AF1626C"/>
    <w:rsid w:val="7AF41F60"/>
    <w:rsid w:val="7B231500"/>
    <w:rsid w:val="7B255C16"/>
    <w:rsid w:val="7B274176"/>
    <w:rsid w:val="7B276F1B"/>
    <w:rsid w:val="7B306163"/>
    <w:rsid w:val="7B31652B"/>
    <w:rsid w:val="7B3E17AA"/>
    <w:rsid w:val="7B401C79"/>
    <w:rsid w:val="7B440ED6"/>
    <w:rsid w:val="7B4678D7"/>
    <w:rsid w:val="7B4B2A93"/>
    <w:rsid w:val="7B527515"/>
    <w:rsid w:val="7B581154"/>
    <w:rsid w:val="7B5A589C"/>
    <w:rsid w:val="7B890A24"/>
    <w:rsid w:val="7B8940DC"/>
    <w:rsid w:val="7B8A4A8A"/>
    <w:rsid w:val="7B99266D"/>
    <w:rsid w:val="7BA54136"/>
    <w:rsid w:val="7BAA485C"/>
    <w:rsid w:val="7BAD1591"/>
    <w:rsid w:val="7BB03367"/>
    <w:rsid w:val="7BC04B6A"/>
    <w:rsid w:val="7BCD64C2"/>
    <w:rsid w:val="7BD100FC"/>
    <w:rsid w:val="7BD3716B"/>
    <w:rsid w:val="7BEC2711"/>
    <w:rsid w:val="7BEF30E0"/>
    <w:rsid w:val="7BF55850"/>
    <w:rsid w:val="7C0D2054"/>
    <w:rsid w:val="7C1054B7"/>
    <w:rsid w:val="7C1544CE"/>
    <w:rsid w:val="7C26369C"/>
    <w:rsid w:val="7C2A465C"/>
    <w:rsid w:val="7C305879"/>
    <w:rsid w:val="7C34521A"/>
    <w:rsid w:val="7C4A2BD1"/>
    <w:rsid w:val="7C516EE4"/>
    <w:rsid w:val="7C576C70"/>
    <w:rsid w:val="7C6E4349"/>
    <w:rsid w:val="7C77043F"/>
    <w:rsid w:val="7C815ED2"/>
    <w:rsid w:val="7C8A7CDC"/>
    <w:rsid w:val="7C9516C4"/>
    <w:rsid w:val="7C9E5A24"/>
    <w:rsid w:val="7C9F7EC8"/>
    <w:rsid w:val="7CB4006B"/>
    <w:rsid w:val="7CB93ABB"/>
    <w:rsid w:val="7CBB6FD3"/>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A1162"/>
    <w:rsid w:val="7D5B27C9"/>
    <w:rsid w:val="7D5E0064"/>
    <w:rsid w:val="7D62117D"/>
    <w:rsid w:val="7D631D92"/>
    <w:rsid w:val="7D6B7F02"/>
    <w:rsid w:val="7D6E73B9"/>
    <w:rsid w:val="7D7D4E70"/>
    <w:rsid w:val="7D834A16"/>
    <w:rsid w:val="7D917B30"/>
    <w:rsid w:val="7D9D0A97"/>
    <w:rsid w:val="7D9D438F"/>
    <w:rsid w:val="7D9F5025"/>
    <w:rsid w:val="7DA514D2"/>
    <w:rsid w:val="7DA72D07"/>
    <w:rsid w:val="7DA93224"/>
    <w:rsid w:val="7DBE6FBE"/>
    <w:rsid w:val="7DC51C1A"/>
    <w:rsid w:val="7DCD1A27"/>
    <w:rsid w:val="7DCD4739"/>
    <w:rsid w:val="7DCD4EB5"/>
    <w:rsid w:val="7DEC4723"/>
    <w:rsid w:val="7DFD4B87"/>
    <w:rsid w:val="7E090313"/>
    <w:rsid w:val="7E105142"/>
    <w:rsid w:val="7E3E0FEC"/>
    <w:rsid w:val="7E3E1EF2"/>
    <w:rsid w:val="7E566EA2"/>
    <w:rsid w:val="7E5C1ABA"/>
    <w:rsid w:val="7E61281D"/>
    <w:rsid w:val="7E622778"/>
    <w:rsid w:val="7E756346"/>
    <w:rsid w:val="7E85174A"/>
    <w:rsid w:val="7E8B68B9"/>
    <w:rsid w:val="7EAA7C26"/>
    <w:rsid w:val="7EAB69D0"/>
    <w:rsid w:val="7EAF1FAA"/>
    <w:rsid w:val="7EB4653A"/>
    <w:rsid w:val="7EBC7B69"/>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22EBD"/>
    <w:rsid w:val="7F0B5962"/>
    <w:rsid w:val="7F0C2035"/>
    <w:rsid w:val="7F0F7992"/>
    <w:rsid w:val="7F1B0865"/>
    <w:rsid w:val="7F271AA3"/>
    <w:rsid w:val="7F542B37"/>
    <w:rsid w:val="7F6B2248"/>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p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71"/>
    <w:basedOn w:val="25"/>
    <w:qFormat/>
    <w:uiPriority w:val="0"/>
    <w:rPr>
      <w:rFonts w:hint="default" w:ascii="Arial" w:hAnsi="Arial" w:cs="Arial"/>
      <w:color w:val="000000"/>
      <w:sz w:val="18"/>
      <w:szCs w:val="18"/>
      <w:u w:val="none"/>
    </w:rPr>
  </w:style>
  <w:style w:type="character" w:customStyle="1" w:styleId="77">
    <w:name w:val="font11"/>
    <w:basedOn w:val="25"/>
    <w:qFormat/>
    <w:uiPriority w:val="0"/>
    <w:rPr>
      <w:rFonts w:hint="default" w:ascii="Arial" w:hAnsi="Arial" w:cs="Arial"/>
      <w:color w:val="000000"/>
      <w:sz w:val="18"/>
      <w:szCs w:val="18"/>
      <w:u w:val="none"/>
      <w:vertAlign w:val="superscript"/>
    </w:rPr>
  </w:style>
  <w:style w:type="character" w:customStyle="1" w:styleId="78">
    <w:name w:val="font41"/>
    <w:basedOn w:val="25"/>
    <w:qFormat/>
    <w:uiPriority w:val="0"/>
    <w:rPr>
      <w:rFonts w:hint="default" w:ascii="Arial" w:hAnsi="Arial" w:cs="Arial"/>
      <w:color w:val="FF0000"/>
      <w:sz w:val="18"/>
      <w:szCs w:val="18"/>
      <w:u w:val="none"/>
    </w:rPr>
  </w:style>
  <w:style w:type="character" w:customStyle="1" w:styleId="79">
    <w:name w:val="font81"/>
    <w:basedOn w:val="25"/>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0</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2024-11-08T08:31:16Z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